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006" w:rsidRPr="003C0F33" w:rsidRDefault="00684006" w:rsidP="00684006">
      <w:pPr>
        <w:pStyle w:val="NormalWeb"/>
        <w:spacing w:before="0" w:beforeAutospacing="0" w:after="0" w:afterAutospacing="0"/>
        <w:jc w:val="center"/>
        <w:rPr>
          <w:b/>
          <w:bCs/>
          <w:kern w:val="36"/>
          <w:sz w:val="28"/>
          <w:szCs w:val="28"/>
        </w:rPr>
      </w:pPr>
      <w:bookmarkStart w:id="0" w:name="_GoBack"/>
      <w:bookmarkEnd w:id="0"/>
      <w:r w:rsidRPr="003C0F33">
        <w:rPr>
          <w:b/>
          <w:bCs/>
          <w:kern w:val="36"/>
          <w:sz w:val="28"/>
          <w:szCs w:val="28"/>
        </w:rPr>
        <w:t>TÀI LIỆU 20 CÂU HỎI ĐÁP PHÁP LUẬT VỀ LUẬT CÔNG NGHIỆP CÔNG NGHỆ SỐ</w:t>
      </w:r>
    </w:p>
    <w:p w:rsidR="00684006" w:rsidRPr="00684006" w:rsidRDefault="00684006" w:rsidP="00684006">
      <w:pPr>
        <w:spacing w:after="0" w:line="240" w:lineRule="auto"/>
        <w:jc w:val="center"/>
        <w:outlineLvl w:val="0"/>
        <w:rPr>
          <w:rFonts w:ascii="Times New Roman" w:eastAsia="Times New Roman" w:hAnsi="Times New Roman" w:cs="Times New Roman"/>
          <w:b/>
          <w:bCs/>
          <w:i/>
          <w:spacing w:val="-10"/>
          <w:sz w:val="28"/>
          <w:szCs w:val="28"/>
        </w:rPr>
      </w:pPr>
      <w:r w:rsidRPr="00684006">
        <w:rPr>
          <w:rFonts w:ascii="Times New Roman" w:eastAsia="Times New Roman" w:hAnsi="Times New Roman" w:cs="Times New Roman"/>
          <w:b/>
          <w:bCs/>
          <w:i/>
          <w:spacing w:val="-10"/>
          <w:sz w:val="28"/>
          <w:szCs w:val="28"/>
        </w:rPr>
        <w:t>Luật Công nghiệp công nghệ số số 71/2025/QH15 ngày 14 tháng 6 năm 2025</w:t>
      </w:r>
    </w:p>
    <w:p w:rsidR="00684006" w:rsidRDefault="00684006" w:rsidP="001D0A70">
      <w:pPr>
        <w:pStyle w:val="NormalWeb"/>
        <w:spacing w:before="0" w:beforeAutospacing="0" w:after="0" w:afterAutospacing="0" w:line="360" w:lineRule="auto"/>
        <w:jc w:val="both"/>
        <w:rPr>
          <w:b/>
          <w:sz w:val="28"/>
          <w:szCs w:val="28"/>
        </w:rPr>
      </w:pPr>
    </w:p>
    <w:p w:rsidR="00C60491" w:rsidRPr="001D0A70" w:rsidRDefault="00C60491" w:rsidP="001D0A70">
      <w:pPr>
        <w:pStyle w:val="NormalWeb"/>
        <w:spacing w:before="0" w:beforeAutospacing="0" w:after="0" w:afterAutospacing="0" w:line="360" w:lineRule="auto"/>
        <w:jc w:val="both"/>
        <w:rPr>
          <w:b/>
          <w:sz w:val="28"/>
          <w:szCs w:val="28"/>
        </w:rPr>
      </w:pPr>
      <w:r w:rsidRPr="001D0A70">
        <w:rPr>
          <w:b/>
          <w:sz w:val="28"/>
          <w:szCs w:val="28"/>
        </w:rPr>
        <w:t>1. Công ty Cổ phần công nghệ số OAP tại thành phố Hà Nội đề xuất dự án thiết kế chip điều khiển cho thiết bị IoT công nghiệp và đề nghị được hỗ trợ từ ngân sách địa phương và Quỹ hỗ trợ đầu tư của thành phố.</w:t>
      </w:r>
    </w:p>
    <w:p w:rsidR="00C60491" w:rsidRPr="001D0A70" w:rsidRDefault="00C60491" w:rsidP="001D0A70">
      <w:pPr>
        <w:pStyle w:val="NormalWeb"/>
        <w:spacing w:before="0" w:beforeAutospacing="0" w:after="0" w:afterAutospacing="0" w:line="360" w:lineRule="auto"/>
        <w:jc w:val="both"/>
        <w:rPr>
          <w:b/>
          <w:sz w:val="28"/>
          <w:szCs w:val="28"/>
        </w:rPr>
      </w:pPr>
      <w:r w:rsidRPr="001D0A70">
        <w:rPr>
          <w:b/>
          <w:sz w:val="28"/>
          <w:szCs w:val="28"/>
        </w:rPr>
        <w:t>Xin hỏi, theo Luật Công nghiệp công nghệ số, hai nguồn tài chính này có được sử dụng để hỗ trợ dự án hay không?</w:t>
      </w:r>
    </w:p>
    <w:p w:rsidR="00E70ACE" w:rsidRDefault="00E70ACE" w:rsidP="001D0A70">
      <w:pPr>
        <w:spacing w:after="0" w:line="360" w:lineRule="auto"/>
        <w:jc w:val="both"/>
        <w:rPr>
          <w:rFonts w:ascii="Times New Roman" w:hAnsi="Times New Roman" w:cs="Times New Roman"/>
          <w:sz w:val="28"/>
          <w:szCs w:val="28"/>
        </w:rPr>
      </w:pPr>
      <w:r w:rsidRPr="00E70ACE">
        <w:rPr>
          <w:rFonts w:ascii="Times New Roman" w:hAnsi="Times New Roman" w:cs="Times New Roman"/>
          <w:sz w:val="28"/>
          <w:szCs w:val="28"/>
        </w:rPr>
        <w:t>Theo điểm b khoản 1 Điều 11 Luật Công nghiệp công nghệ số số 71/2025/QH15, nguồn tài chính cho phát triển công nghiệp công nghệ số bao gồm ngân sách nhà nước và nguồn từ Quỹ hỗ trợ đầu tư theo quy định của pháp luật.</w:t>
      </w:r>
    </w:p>
    <w:p w:rsidR="00E70ACE" w:rsidRDefault="00E70ACE" w:rsidP="001D0A70">
      <w:pPr>
        <w:spacing w:after="0" w:line="360" w:lineRule="auto"/>
        <w:jc w:val="both"/>
        <w:rPr>
          <w:rFonts w:ascii="Times New Roman" w:hAnsi="Times New Roman" w:cs="Times New Roman"/>
          <w:sz w:val="28"/>
          <w:szCs w:val="28"/>
        </w:rPr>
      </w:pPr>
      <w:r w:rsidRPr="00E70ACE">
        <w:rPr>
          <w:rFonts w:ascii="Times New Roman" w:hAnsi="Times New Roman" w:cs="Times New Roman"/>
          <w:sz w:val="28"/>
          <w:szCs w:val="28"/>
        </w:rPr>
        <w:t>Hoạt động thiết kế chip điều khiển cho thiết bị IoT công nghiệp là hoạt động cốt lõi của công nghiệp công nghệ số, gắn với phát triển công nghệ lõi và nâng cao năng lực tự chủ công nghệ.</w:t>
      </w:r>
    </w:p>
    <w:p w:rsidR="00E70ACE" w:rsidRPr="00E70ACE" w:rsidRDefault="00E70ACE" w:rsidP="001D0A70">
      <w:pPr>
        <w:spacing w:after="0" w:line="360" w:lineRule="auto"/>
        <w:jc w:val="both"/>
        <w:rPr>
          <w:rFonts w:ascii="Times New Roman" w:eastAsia="Times New Roman" w:hAnsi="Times New Roman" w:cs="Times New Roman"/>
          <w:b/>
          <w:sz w:val="28"/>
          <w:szCs w:val="28"/>
        </w:rPr>
      </w:pPr>
      <w:r w:rsidRPr="00E70ACE">
        <w:rPr>
          <w:rFonts w:ascii="Times New Roman" w:hAnsi="Times New Roman" w:cs="Times New Roman"/>
          <w:sz w:val="28"/>
          <w:szCs w:val="28"/>
        </w:rPr>
        <w:t xml:space="preserve">Do đó, trên cơ sở phân cấp ngân sách, thẩm quyền quyết định và khả năng cân đối nguồn lực, Ủy ban nhân dân thành phố Hà Nội có thể xem xét bố trí nguồn chi từ ngân sách địa phương và Quỹ hỗ trợ đầu tư để hỗ trợ dự án, với điều kiện doanh nghiệp đáp ứng đầy đủ tiêu chí, trình tự, thủ tục theo quy định của pháp luật về ngân sách nhà nước, pháp luật về đầu tư và Điều lệ hoạt động của Quỹ. </w:t>
      </w:r>
      <w:r w:rsidRPr="00E70ACE">
        <w:rPr>
          <w:rStyle w:val="Strong"/>
          <w:rFonts w:ascii="Times New Roman" w:hAnsi="Times New Roman" w:cs="Times New Roman"/>
          <w:b w:val="0"/>
          <w:sz w:val="28"/>
          <w:szCs w:val="28"/>
        </w:rPr>
        <w:t>Việc hỗ trợ cần gắn với mục tiêu phát triển công nghiệp công nghệ số của Thành phố, bảo đảm sử dụng hiệu quả nguồn lực công, đúng đối tượng, đúng mục đích; đồng thời được thực hiện trên cơ sở thẩm định dự án, đánh giá tính khả thi về công nghệ, hiệu quả kinh tế – xã hội và khả năng lan tỏa trong hệ sinh thái công nghiệp công nghệ số tại địa phương.</w:t>
      </w:r>
    </w:p>
    <w:p w:rsidR="00C60491" w:rsidRPr="00670600" w:rsidRDefault="00C60491" w:rsidP="001D0A70">
      <w:pPr>
        <w:pStyle w:val="NormalWeb"/>
        <w:spacing w:before="0" w:beforeAutospacing="0" w:after="0" w:afterAutospacing="0" w:line="360" w:lineRule="auto"/>
        <w:jc w:val="both"/>
        <w:rPr>
          <w:b/>
          <w:sz w:val="28"/>
          <w:szCs w:val="28"/>
        </w:rPr>
      </w:pPr>
      <w:r w:rsidRPr="00670600">
        <w:rPr>
          <w:b/>
          <w:sz w:val="28"/>
          <w:szCs w:val="28"/>
        </w:rPr>
        <w:t xml:space="preserve">2. Công ty TNHH công nghệ Sao Ánh Dương tại tỉnh Tây Ninh phát triển nền tảng công nghệ số phục vụ quản lý chuỗi cung ứng nông sản, trong đó có thu thập và xử lý dữ liệu từ các hộ nông dân, hợp tác xã và doanh nghiệp phân </w:t>
      </w:r>
      <w:r w:rsidRPr="00670600">
        <w:rPr>
          <w:b/>
          <w:sz w:val="28"/>
          <w:szCs w:val="28"/>
        </w:rPr>
        <w:lastRenderedPageBreak/>
        <w:t>phối. Trong quá trình thử nghiệm hệ thống, cán bộ kỹ thuật của công ty đã truy cập trái phép, sao chép và chuyển giao dữ liệu sản xuất, kinh doanh của các hộ nông dân và hợp tác xã cho doanh nghiệp khác nhằm phục vụ mục đích cạnh tranh.</w:t>
      </w:r>
    </w:p>
    <w:p w:rsidR="00C60491" w:rsidRPr="00670600" w:rsidRDefault="00C60491" w:rsidP="001D0A70">
      <w:pPr>
        <w:pStyle w:val="NormalWeb"/>
        <w:spacing w:before="0" w:beforeAutospacing="0" w:after="0" w:afterAutospacing="0" w:line="360" w:lineRule="auto"/>
        <w:jc w:val="both"/>
        <w:rPr>
          <w:b/>
          <w:sz w:val="28"/>
          <w:szCs w:val="28"/>
        </w:rPr>
      </w:pPr>
      <w:r w:rsidRPr="00670600">
        <w:rPr>
          <w:b/>
          <w:sz w:val="28"/>
          <w:szCs w:val="28"/>
        </w:rPr>
        <w:t>Xin hỏi, theo quy định của Luật Công nghiệp công nghệ số, hành vi nêu trên có thuộc trường hợp bị pháp luật nghiêm cấm hay không, kể cả trong trường hợp dự án đang ở giai đoạn thử nghiệm và chưa phát sinh thiệt hại thực tế?</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Theo khoản 1 Điều 12 Luật Công nghiệp công nghệ số số 71/2025/QH15 ngày 14/6/2025, pháp luật nghiêm cấm hành vi lợi dụng hoạt động công nghiệp công nghệ số để xâm phạm quyền con người, quyền công dân, quyền và lợi ích hợp pháp của tổ chức, cá nhân; xâm phạm lợi ích quốc gia, lợi ích công cộng hoặc gây ảnh hưởng đến an ninh, trật tự, an toàn xã hội và đạo đức xã hội. Quy định này được áp dụng đối với toàn bộ các hoạt động trong lĩnh vực công nghiệp công nghệ số, không phụ thuộc vào việc dự án đã vận hành chính thức hay đang trong giai đoạn thử nghiệm.</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Trong tình huống nêu trên, việc cán bộ kỹ thuật truy cập trái phép vào dữ liệu của các hộ nông dân, sao chép thông tin liên quan đến hoạt động sản xuất, kinh doanh của hợp tác xã và chuyển giao cho doanh nghiệp khác mà không được sự đồng ý của chủ thể dữ liệu đã trực tiếp xâm phạm quyền và lợi ích hợp pháp của các tổ chức, cá nhân có liên quan. Các thông tin về sản lượng, chi phí, mô hình canh tác và dữ liệu kinh doanh, dù đang được thu thập trong giai đoạn thử nghiệm, vẫn là dữ liệu thuộc phạm vi được pháp luật bảo vệ trong hoạt động công nghiệp công nghệ số.</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 xml:space="preserve">Việc doanh nghiệp giải trình rằng đây là hành vi mang tính cá nhân của cán bộ kỹ thuật không làm loại trừ trách nhiệm pháp lý phát sinh trong quá trình quản lý, tổ chức và vận hành nền tảng công nghệ số. Doanh nghiệp triển khai dự án có trách nhiệm xây dựng, thực hiện các biện pháp kiểm soát truy cập, bảo mật dữ liệu, phân </w:t>
      </w:r>
      <w:r w:rsidRPr="001D0A70">
        <w:rPr>
          <w:sz w:val="28"/>
          <w:szCs w:val="28"/>
        </w:rPr>
        <w:lastRenderedPageBreak/>
        <w:t>quyền sử dụng và giám sát nội bộ nhằm bảo đảm dữ liệu được khai thác, sử dụng đúng mục đích, đúng thẩm quyền và phù hợp với quy định của pháp luật. Do đó, hành vi nêu trên thuộc trường hợp bị pháp luật nghiêm cấm trong lĩnh vực công nghiệp công nghệ số theo khoản 1 Điều 12 Luật Công nghiệp công nghệ số số 71/2025/QH15.</w:t>
      </w:r>
    </w:p>
    <w:p w:rsidR="00C60491" w:rsidRPr="00670600" w:rsidRDefault="00C60491" w:rsidP="001D0A70">
      <w:pPr>
        <w:pStyle w:val="NormalWeb"/>
        <w:spacing w:before="0" w:beforeAutospacing="0" w:after="0" w:afterAutospacing="0" w:line="360" w:lineRule="auto"/>
        <w:jc w:val="both"/>
        <w:rPr>
          <w:b/>
          <w:sz w:val="28"/>
          <w:szCs w:val="28"/>
        </w:rPr>
      </w:pPr>
      <w:r w:rsidRPr="00670600">
        <w:rPr>
          <w:b/>
          <w:sz w:val="28"/>
          <w:szCs w:val="28"/>
        </w:rPr>
        <w:t>3. Công ty HorizonWare Việt Nam tại thành phố Hồ Chí Minh đang nghiên cứu, phát triển nền tảng phần mềm quản lý giao thông thông minh để phân tích dữ liệu thời gian thực và tối ưu hóa luồng phương tiện. Có ý kiến cho rằng dự án này không phải là hoạt động sản xuất sản phẩm công nghệ số do không có phần cứng đi kèm.</w:t>
      </w:r>
    </w:p>
    <w:p w:rsidR="00C60491" w:rsidRPr="001D0A70" w:rsidRDefault="00C60491" w:rsidP="001D0A70">
      <w:pPr>
        <w:pStyle w:val="NormalWeb"/>
        <w:spacing w:before="0" w:beforeAutospacing="0" w:after="0" w:afterAutospacing="0" w:line="360" w:lineRule="auto"/>
        <w:jc w:val="both"/>
        <w:rPr>
          <w:sz w:val="28"/>
          <w:szCs w:val="28"/>
        </w:rPr>
      </w:pPr>
      <w:r w:rsidRPr="00670600">
        <w:rPr>
          <w:b/>
          <w:sz w:val="28"/>
          <w:szCs w:val="28"/>
        </w:rPr>
        <w:t>Vậy theo quy định của Luật Công nghiệp công nghệ số, dự án nêu trên có được coi là hoạt động sản xuất sản phẩm công nghệ số hay không?</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Theo điểm b khoản 2 Điều 13 Luật Công nghiệp công nghệ số số 71/2025/QH15 ngày 14/6/2025, sản phẩm phần mềm là một loại sản phẩm công nghệ số, bao gồm phần mềm hệ thống, phần mềm ứng dụng, phần mềm nền tảng số và các loại phần mềm khác, không phụ thuộc vào việc có hay không gắn với phần cứng.</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Căn cứ quy định này, nền tảng phần mềm quản lý giao thông thông minh do Công ty HorizonWare Việt Nam phát triển, với các thành phần như thuật toán điều phối, mô-đun xử lý và phân tích dữ liệu thời gian thực, giao diện quản trị và hệ thống kết nối với các thiết bị thu thập dữ liệu, thuộc phạm vi sản phẩm phần mềm và được xác định là sản phẩm công nghệ số theo quy định của pháp luật.</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Luật Công nghiệp công nghệ số không giới hạn hoạt động sản xuất sản phẩm công nghệ số chỉ đối với sản phẩm phần cứng. Hoạt động sản xuất sản phẩm công nghệ số có thể bao gồm các công đoạn như nghiên cứu, thiết kế, phát triển, lập trình, thử nghiệm, kiểm thử và hoàn thiện sản phẩm. Đối với sản phẩm phần mềm, các hoạt động nghiên cứu thuật toán, thiết kế kiến trúc hệ thống, lập trình và triển khai thử nghiệm đều được coi là hoạt động sản xuất theo quy định của Luật.</w:t>
      </w:r>
    </w:p>
    <w:p w:rsidR="00C60491" w:rsidRPr="001D0A7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4. Tiêu chí xác định sản phẩm, dịch vụ công nghệ số trọng điểm</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Công ty NovaData Solutions tại thành phố Hải Phòng phát triển nền tảng phân tích dữ liệu lớn phục vụ chuyển đổi số trong lĩnh vực y tế và đề nghị xem xét công nhận là sản phẩm, dịch vụ công nghệ số trọng điểm, trong khi sản phẩm đang trong giai đoạn thử nghiệm và chưa tạo ra hiệu quả kinh tế rõ rệt.</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Vậy theo quy định của Luật Công nghiệp công nghệ số, nền tảng nêu trên có đủ căn cứ pháp lý để được xem xét là sản phẩm, dịch vụ công nghệ số trọng điểm hay không?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điểm c khoản 1 Điều 14 Luật Công nghiệp công nghệ số số 71/2025/QH15 ngày 14/6/2025, sản phẩm, dịch vụ công nghệ số trọng điểm là sản phẩm, dịch vụ thực hiện các nhiệm vụ trọng điểm chuyển đổi số quốc gia và có tác động tích cực, đột phá về đổi mới công nghệ hoặc hiệu quả kinh tế đối với ngành, lĩnh vực.</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Quy định này không đặt ra yêu cầu bắt buộc sản phẩm phải được thương mại hóa hoàn chỉnh hoặc đã triển khai trên diện rộng tại thời điểm xem xét, mà tập trung đánh giá vai trò nền tảng, tính đổi mới công nghệ và khả năng tạo tác động lan tỏa đối với quá trình chuyển đổi số của ngành, lĩnh vực liên quan.</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đó, nền tảng phân tích dữ liệu lớn trong lĩnh vực y tế do Công ty NovaData Solutions phát triển, nếu chứng minh được khả năng phục vụ trực tiếp các mục tiêu chuyển đổi số ngành y tế, như chuẩn hóa và liên thông dữ liệu y tế, hỗ trợ công tác quản lý, điều hành hệ thống y tế và nâng cao hiệu quả cung ứng dịch vụ y tế, thì có đủ căn cứ pháp lý để được xem xét là sản phẩm, dịch vụ công nghệ số trọng điểm theo quy định của Luật.</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Việc công nhận cụ thể thuộc thẩm quyền đánh giá, quyết định của cơ quan nhà nước có thẩm quyền trên cơ sở hồ sơ, tiêu chí và quy trình do cơ quan quản lý chuyên ngành ban hành.</w:t>
      </w:r>
    </w:p>
    <w:p w:rsidR="00C60491" w:rsidRPr="0067060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CB2890">
        <w:rPr>
          <w:rFonts w:ascii="Times New Roman" w:hAnsi="Times New Roman" w:cs="Times New Roman"/>
          <w:b/>
          <w:color w:val="auto"/>
          <w:sz w:val="28"/>
          <w:szCs w:val="28"/>
        </w:rPr>
        <w:t xml:space="preserve">5. </w:t>
      </w:r>
      <w:r w:rsidRPr="00670600">
        <w:rPr>
          <w:rFonts w:ascii="Times New Roman" w:eastAsia="Times New Roman" w:hAnsi="Times New Roman" w:cs="Times New Roman"/>
          <w:b/>
          <w:bCs/>
          <w:color w:val="auto"/>
          <w:sz w:val="28"/>
          <w:szCs w:val="28"/>
        </w:rPr>
        <w:t>Sản phẩm, dịch vụ công nghệ số hạn chế chuyển giao</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Một doanh nghiệp công nghệ tại tỉnh Thanh Hóa phát triển mô-đun phần mềm giám sát an toàn thông tin và dự kiến chuyển giao cho đối tác. Doanh nghiệp được cảnh báo rằng một số công nghệ an toàn thông tin có thể thuộc diện hạn chế chuyển giao và phải được cơ quan có thẩm quyền chấp thuận.</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Vậy theo Luật Công nghiệp công nghệ số, việc xác định sản phẩm, dịch vụ công nghệ số hạn chế chuyển giao được quy định tại đâu và thủ tục chấp thuận chuyển giao được thực hiện theo hệ thống pháp luật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Điều 15 Luật Công nghiệp công nghệ số số 71/2025/QH15, việc quản lý sản phẩm, dịch vụ công nghệ số hạn chế chuyển giao được thực hiện theo nguyên tắc kiểm soát đối với các công nghệ có tính nhạy cảm, có khả năng ảnh hưởng đến an ninh quốc gia, an toàn thông tin và lợi ích công cộng.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Luật Công nghiệp công nghệ số không ban hành danh mục cụ thể các sản phẩm, dịch vụ công nghệ số hạn chế chuyển giao mà dẫn chiếu áp dụng pháp luật về chuyển giao công nghệ để xác định danh mục công nghệ thuộc diện hạn chế hoặc phải kiểm soát. Theo đó, doanh nghiệp có trách nhiệm đối chiếu sản phẩm, mô-đun phần mềm của mình với danh mục công nghệ hạn chế chuyển giao theo quy định của pháp luật về chuyển giao công nghệ và các văn bản hướng dẫn thi hành.</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Trường hợp mô-đun phần mềm an toàn thông tin thuộc danh mục công nghệ hạn chế chuyển giao, trình tự, thủ tục chấp thuận chuyển giao được thực hiện theo pháp luật về chuyển giao công nghệ; doanh nghiệp chỉ được phép thực hiện việc chuyển giao sau khi có văn bản chấp thuận của cơ quan nhà nước có thẩm quyền. Việc công nghệ được sử dụng cho mục đích dân sự không làm phát sinh ngoại lệ nếu công nghệ đó thuộc diện phải kiểm soát theo quy định pháp luật.</w:t>
      </w:r>
    </w:p>
    <w:p w:rsidR="00C60491" w:rsidRPr="001D0A7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6. Hỗ trợ đào tạo nhân lực công nghiệp công nghệ số theo mô hình liên ngành</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Một trường đại học tại tỉnh Bắc Ninh triển khai dự án xây dựng nền tảng dạy và học trực tuyến mở, kết hợp mô hình đào tạo liên ngành giữa công nghệ số và logistics, và đề nghị áp dụng chính sách hỗ trợ phát triển nhân lực công nghiệp công nghệ số theo Luật Công nghiệp công nghệ số. Có ý kiến cho rằng chính sách này chỉ áp dụng cho đào tạo thuần công nghệ số.</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Vậy theo quy định của pháp luật, việc áp dụng chính sách hỗ trợ đối với mô hình đào tạo liên ngành nêu trên có phù hợp hay không?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điểm d khoản 1 Điều 18 Luật Công nghiệp công nghệ số số 71/2025/QH15, Nhà nước có chính sách hỗ trợ phát triển nền tảng dạy và học trực tuyến mở, mô hình đào tạo công nghệ số thích ứng với quá trình chuyển đổi số, bao gồm cả các mô hình đào tạo liên ngành kết hợp giữa công nghệ số và các ngành, lĩnh vực khác.</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Quy định này cho thấy phạm vi chính sách hỗ trợ không giới hạn ở đào tạo thuần công nghệ số, mà mở rộng đối với các mô hình đào tạo có sự tích hợp công nghệ số nhằm đáp ứng yêu cầu chuyển đổi số của các ngành, lĩnh vực trong nền kinh tế. Do đó, quan điểm cho rằng chính sách chỉ áp dụng cho đào tạo công nghệ số đơn ngành là không phù hợp với nội dung và tinh thần của Luật.</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Đối với mô hình đào tạo kết hợp giữa công nghệ số và logistics, việc ứng dụng công nghệ số vào đào tạo logistics đáp ứng trực tiếp yêu cầu chuyển đổi số trong quản trị chuỗi cung ứng, vận tải, kho bãi và phân tích dữ liệu, phù hợp với định hướng phát triển nhân lực trong bối cảnh kinh tế số. Đồng thời, dự án xây dựng nền tảng dạy và học trực tuyến mở của trường đại học cũng thuộc nhóm ứng dụng công nghệ số trong giáo dục được Nhà nước khuyến khích hỗ trợ. Vì vậy, việc viện dẫn điểm d khoản 1 Điều 18 Luật Công nghiệp công nghệ số để đề nghị hỗ trợ cho dự án đào tạo liên ngành nêu trên là có căn cứ pháp lý và phù hợp phạm vi chính sách hỗ trợ.</w:t>
      </w:r>
    </w:p>
    <w:p w:rsidR="00C60491" w:rsidRPr="0067060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CB2890">
        <w:rPr>
          <w:rFonts w:ascii="Times New Roman" w:hAnsi="Times New Roman" w:cs="Times New Roman"/>
          <w:b/>
          <w:color w:val="auto"/>
          <w:sz w:val="28"/>
          <w:szCs w:val="28"/>
        </w:rPr>
        <w:t xml:space="preserve">7. </w:t>
      </w:r>
      <w:r w:rsidRPr="00670600">
        <w:rPr>
          <w:rFonts w:ascii="Times New Roman" w:eastAsia="Times New Roman" w:hAnsi="Times New Roman" w:cs="Times New Roman"/>
          <w:b/>
          <w:bCs/>
          <w:color w:val="auto"/>
          <w:sz w:val="28"/>
          <w:szCs w:val="28"/>
        </w:rPr>
        <w:t>Cư trú đối với nhân lực công nghiệp công nghệ số chất lượng cao là người nước ngoài</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Một doanh nghiệp công nghệ số tại thành phố Đà Nẵng tuyển dụng chuyên gia nước ngoài phụ trách hệ thống trí tuệ nhân tạo và đề nghị cấp thẻ tạm trú dài hạn để bảo đảm ổn định công việc; đồng thời mong muốn vợ/chồng và con dưới 18 tuổi của chuyên gia được sang Việt Nam sinh sống cùng.</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Vậy theo quy định của pháp luật, chuyên gia có được cấp thẻ tạm trú thời hạn 05 năm và vợ/chồng, con dưới 18 tuổi có được cấp thẻ tạm trú với thời hạn tương ứng hay không?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khoản 2 Điều 19 Luật Công nghiệp công nghệ số số 71/2025/QH15, nhân lực công nghiệp công nghệ số chất lượng cao là người nước ngoài được cấp thẻ tạm trú có thời hạn 05 năm và được gia hạn theo quy định của pháp luật về nhập cảnh, xuất cảnh, quá cảnh và cư trú của người nước ngoài tại Việt Nam. Quy định này nhằm bảo đảm tính ổn định, lâu dài cho chuyên gia trong quá trình tham gia các hoạt động phát triển công nghiệp công nghệ số tại Việt Nam.</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Đồng thời, vợ hoặc chồng và con dưới 18 tuổi của nhân lực công nghiệp công nghệ số chất lượng cao là người nước ngoài được cấp thẻ tạm trú với thời hạn tương ứng với thời hạn cấp cho chuyên gia. Các cơ quan chức năng, chính quyền địa phương và cơ sở giáo dục có trách nhiệm tạo điều kiện, hỗ trợ về thủ tục cư trú, việc làm và học tập cho thân nhân của chuyên gia theo quy định pháp luật có liên quan.</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Như vậy, nếu chuyên gia đáp ứng điều kiện được xác định là nhân lực công nghiệp công nghệ số chất lượng cao, doanh nghiệp có căn cứ pháp lý để đề nghị cấp thẻ tạm trú thời hạn 05 năm cho chuyên gia; đồng thời, vợ/chồng và con dưới 18 tuổi của chuyên gia được cấp thẻ tạm trú với thời hạn tương ứng. Quan điểm cho rằng thân nhân của chuyên gia chỉ được cấp thị thực thăm thân ngắn hạn là không phù hợp với nội dung và tinh thần của khoản 2 Điều 19 Luật Công nghiệp công nghệ số.</w:t>
      </w:r>
    </w:p>
    <w:p w:rsidR="00C60491" w:rsidRPr="00A53FCE" w:rsidRDefault="00A53FCE" w:rsidP="00A53FCE">
      <w:pPr>
        <w:pStyle w:val="Heading3"/>
        <w:spacing w:before="0" w:line="360" w:lineRule="auto"/>
        <w:jc w:val="both"/>
        <w:rPr>
          <w:rFonts w:ascii="Times New Roman" w:eastAsia="Times New Roman" w:hAnsi="Times New Roman" w:cs="Times New Roman"/>
          <w:b/>
          <w:bCs/>
          <w:color w:val="auto"/>
          <w:sz w:val="28"/>
          <w:szCs w:val="28"/>
        </w:rPr>
      </w:pPr>
      <w:r>
        <w:rPr>
          <w:rFonts w:ascii="Times New Roman" w:hAnsi="Times New Roman" w:cs="Times New Roman"/>
          <w:b/>
          <w:color w:val="auto"/>
          <w:sz w:val="28"/>
          <w:szCs w:val="28"/>
        </w:rPr>
        <w:t xml:space="preserve">8. </w:t>
      </w:r>
      <w:r w:rsidR="00C60491" w:rsidRPr="00A53FCE">
        <w:rPr>
          <w:rFonts w:ascii="Times New Roman" w:eastAsia="Times New Roman" w:hAnsi="Times New Roman" w:cs="Times New Roman"/>
          <w:b/>
          <w:color w:val="auto"/>
          <w:sz w:val="28"/>
          <w:szCs w:val="28"/>
        </w:rPr>
        <w:t>Một số doanh nghiệp công nghệ số tại Khu công nghệ cao Láng Hòa Lạc (Hà Nội) có nhu cầu tuyển dụng các cá nhân có trình độ xuất sắc trong lĩnh vực khoa học, công nghệ và đổi mới sáng tạo để tham gia nghiên cứu, phát triển sản phẩm số.</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Vậy theo quy định của pháp luật, những cá nhân này có được xác định là nhân tài công nghệ số hay không và việc xác định căn cứ vào những tiêu chí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khoản 1 Điều 20 Luật Công nghiệp công nghệ số số 71/2025/QH15, nhân tài công nghệ số là nhân lực công nghiệp công nghệ số chất lượng cao đáp ứng các tiêu chí xác định nhân tài trong lĩnh vực khoa học, công nghệ và đổi mới sáng tạo theo quy định của pháp luật chuyên ngành. Như vậy, việc xác định nhân tài công nghệ số được thực hiện trên cơ sở kết hợp hai nhóm tiêu chí: cá nhân thuộc nhóm nhân lực công nghiệp công nghệ số chất lượng cao và đồng thời đáp ứng tiêu chí nhân tài theo pháp luật về khoa học, công nghệ và đổi mới sáng tạo.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Việc xác định nhân tài không chỉ căn cứ vào văn bằng, chứng chỉ hoặc chức danh công việc, mà còn dựa trên thành tích nghiên cứu, năng lực sáng tạo, khả năng dẫn dắt phát triển công nghệ, cũng như đóng góp thực tiễn cho hoạt động nghiên cứu – phát triển, đổi mới sáng tạo hoặc triển khai các nhiệm vụ khoa học, công nghệ có giá trị. Các tiêu chí cụ thể được xác định theo quy định của pháp luật chuyên ngành và cơ chế đánh giá của cơ quan có thẩm quyền.</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Do đó, các cá nhân có trình độ xuất sắc, giữ vai trò nòng cốt trong nghiên cứu, phát triển sản phẩm số tại doanh nghiệp công nghệ số, nếu đáp ứng đồng thời các tiêu chí nêu trên, có thể được xác định là nhân tài công nghệ số theo quy định của Luật Công nghiệp công nghệ số.</w:t>
      </w:r>
    </w:p>
    <w:p w:rsidR="00C60491" w:rsidRPr="0067060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A53FCE">
        <w:rPr>
          <w:rFonts w:ascii="Times New Roman" w:hAnsi="Times New Roman" w:cs="Times New Roman"/>
          <w:b/>
          <w:color w:val="auto"/>
          <w:sz w:val="28"/>
          <w:szCs w:val="28"/>
        </w:rPr>
        <w:t xml:space="preserve">9. </w:t>
      </w:r>
      <w:r w:rsidRPr="00670600">
        <w:rPr>
          <w:rFonts w:ascii="Times New Roman" w:eastAsia="Times New Roman" w:hAnsi="Times New Roman" w:cs="Times New Roman"/>
          <w:b/>
          <w:bCs/>
          <w:color w:val="auto"/>
          <w:sz w:val="28"/>
          <w:szCs w:val="28"/>
        </w:rPr>
        <w:t>Trách nhiệm môi trường và nghĩa vụ thuế của doanh nghiệp công nghệ số</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b/>
          <w:sz w:val="28"/>
          <w:szCs w:val="28"/>
        </w:rPr>
        <w:t>Công ty Công nghệ VIC tại tỉnh Ninh Bình sản xuất thiết bị lưu trữ, vận hành hệ thống máy chủ và trong quá trình hoạt động phát sinh các linh kiện điện tử thải bỏ như ổ cứng, bo mạch, pin; doanh nghiệp cho rằng quy mô hoạt động nhỏ và chủ yếu cung cấp dịch vụ nên không thuộc đối tượng phải thực hiện trách nhiệm thu hồi, xử lý sản phẩm thải bỏ và nghĩa vụ thuế bảo vệ môi trường.</w:t>
      </w:r>
      <w:r w:rsidRPr="00C60491">
        <w:rPr>
          <w:rFonts w:ascii="Times New Roman" w:eastAsia="Times New Roman" w:hAnsi="Times New Roman" w:cs="Times New Roman"/>
          <w:sz w:val="28"/>
          <w:szCs w:val="28"/>
        </w:rPr>
        <w:t xml:space="preserve"> </w:t>
      </w:r>
      <w:r w:rsidRPr="001D0A70">
        <w:rPr>
          <w:rFonts w:ascii="Times New Roman" w:eastAsia="Times New Roman" w:hAnsi="Times New Roman" w:cs="Times New Roman"/>
          <w:b/>
          <w:bCs/>
          <w:sz w:val="28"/>
          <w:szCs w:val="28"/>
        </w:rPr>
        <w:t>Xin hỏi theo quy định của pháp luật, trách nhiệm của doanh nghiệp trong trường hợp này được xác định như thế nào?</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Theo khoản 2 Điều 32 Luật Công nghiệp công nghệ số số 71/2025/QH15, doanh nghiệp công nghệ số có trách nhiệm tuân thủ pháp luật về bảo vệ môi trường, thực hiện thu hồi và xử lý sản phẩm thải bỏ trong công nghiệp công nghệ số, đồng thời thực hiện nghĩa vụ thuế bảo vệ môi trường theo quy định của pháp luật về thuế và pháp luật có liên quan. Quy định này được áp dụng chung đối với mọi doanh nghiệp công nghệ số, không phụ thuộc vào quy mô hoạt động hay việc doanh nghiệp xác định hoạt động chính là sản xuất hay cung ứng dịch vụ.</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Các linh kiện điện tử thải bỏ như ổ cứng, bo mạch, pin là chất thải điện tử có nguy cơ gây ô nhiễm môi trường và phải được quản lý theo quy định chuyên ngành về bảo vệ môi trường. Doanh nghiệp có trách nhiệm phân loại, lưu giữ và chuyển giao các chất thải này cho đơn vị có giấy phép xử lý phù hợp; việc chuyển giao cho đơn vị thu gom chất thải thông thường không làm phát sinh căn cứ loại trừ trách nhiệm pháp lý.</w:t>
      </w:r>
    </w:p>
    <w:p w:rsidR="00C60491" w:rsidRPr="001D0A70" w:rsidRDefault="00C60491" w:rsidP="001D0A70">
      <w:pPr>
        <w:pStyle w:val="NormalWeb"/>
        <w:spacing w:before="0" w:beforeAutospacing="0" w:after="0" w:afterAutospacing="0" w:line="360" w:lineRule="auto"/>
        <w:jc w:val="both"/>
        <w:rPr>
          <w:sz w:val="28"/>
          <w:szCs w:val="28"/>
        </w:rPr>
      </w:pPr>
      <w:r w:rsidRPr="001D0A70">
        <w:rPr>
          <w:sz w:val="28"/>
          <w:szCs w:val="28"/>
        </w:rPr>
        <w:t>Đối với nghĩa vụ thuế bảo vệ môi trường, trường hợp doanh nghiệp sản xuất hoặc nhập khẩu sản phẩm, linh kiện thuộc danh mục chịu thuế theo Luật Thuế bảo vệ môi trường thì phải thực hiện kê khai, nộp thuế theo quy định, không phụ thuộc vào quy mô sản xuất hay tính chất dịch vụ của doanh nghiệp. Do đó, yêu cầu rà soát trách nhiệm môi trường và nghĩa vụ thuế của cơ quan có thẩm quyền là có căn cứ pháp luật; doanh nghiệp không thể viện dẫn lý do quy mô nhỏ hoặc hoạt động dịch vụ để loại trừ nghĩa vụ của mình.</w:t>
      </w:r>
    </w:p>
    <w:p w:rsidR="00C60491" w:rsidRPr="00A53FCE" w:rsidRDefault="00C60491" w:rsidP="00A53FCE">
      <w:pPr>
        <w:pStyle w:val="Heading3"/>
        <w:spacing w:before="0" w:line="360" w:lineRule="auto"/>
        <w:jc w:val="both"/>
        <w:rPr>
          <w:rFonts w:ascii="Times New Roman" w:eastAsia="Times New Roman" w:hAnsi="Times New Roman" w:cs="Times New Roman"/>
          <w:b/>
          <w:bCs/>
          <w:color w:val="auto"/>
          <w:sz w:val="28"/>
          <w:szCs w:val="28"/>
        </w:rPr>
      </w:pPr>
      <w:r w:rsidRPr="00670600">
        <w:rPr>
          <w:rFonts w:ascii="Times New Roman" w:hAnsi="Times New Roman" w:cs="Times New Roman"/>
          <w:b/>
          <w:color w:val="auto"/>
          <w:sz w:val="28"/>
          <w:szCs w:val="28"/>
        </w:rPr>
        <w:t>10.</w:t>
      </w:r>
      <w:r w:rsidRPr="00670600">
        <w:rPr>
          <w:rFonts w:ascii="Times New Roman" w:hAnsi="Times New Roman" w:cs="Times New Roman"/>
          <w:color w:val="auto"/>
          <w:sz w:val="28"/>
          <w:szCs w:val="28"/>
        </w:rPr>
        <w:t xml:space="preserve"> </w:t>
      </w:r>
      <w:r w:rsidRPr="00A53FCE">
        <w:rPr>
          <w:rFonts w:ascii="Times New Roman" w:eastAsia="Times New Roman" w:hAnsi="Times New Roman" w:cs="Times New Roman"/>
          <w:b/>
          <w:color w:val="auto"/>
          <w:sz w:val="28"/>
          <w:szCs w:val="28"/>
        </w:rPr>
        <w:t>Trong quá trình xây dựng kế hoạch chuyển đổi số, Sở Công Thương tỉnh Phú Thọ tổng hợp dữ liệu doanh nghiệp công nghệ số để phục vụ báo cáo quản lý nhà nước; có ý kiến cho rằng khi Hệ thống thông tin quốc gia về công nghiệp công nghệ số được xây dựng thì địa phương không cần tiếp tục thu thập dữ liệu</w:t>
      </w:r>
      <w:r w:rsidRPr="00A53FCE">
        <w:rPr>
          <w:rFonts w:ascii="Times New Roman" w:eastAsia="Times New Roman" w:hAnsi="Times New Roman" w:cs="Times New Roman"/>
          <w:color w:val="auto"/>
          <w:sz w:val="28"/>
          <w:szCs w:val="28"/>
        </w:rPr>
        <w:t xml:space="preserve">. </w:t>
      </w:r>
      <w:r w:rsidRPr="00A53FCE">
        <w:rPr>
          <w:rFonts w:ascii="Times New Roman" w:eastAsia="Times New Roman" w:hAnsi="Times New Roman" w:cs="Times New Roman"/>
          <w:b/>
          <w:bCs/>
          <w:color w:val="auto"/>
          <w:sz w:val="28"/>
          <w:szCs w:val="28"/>
        </w:rPr>
        <w:t>Xin hỏi theo quy định của pháp luật, việc xây dựng Hệ thống thông tin quốc gia được hiểu như thế nào và trách nhiệm cung cấp dữ liệu của địa phương được xác định ra sao?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khoản 1 Điều 34 Luật Công nghiệp công nghệ số số 71/2025/QH15 ngày 14/6/2025, Bộ Khoa học và Công nghệ có trách nhiệm xây dựng, quản lý, duy trì và nâng cấp Hệ thống thông tin quốc gia về công nghiệp công nghệ số nhằm hình thành nền tảng dữ liệu thống nhất phục vụ công tác quản lý nhà nước trên phạm vi cả nước, bảo đảm kết nối, chia sẻ và đồng bộ dữ liệu giữa Trung ương và địa phương.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Việc xây dựng Hệ thống thông tin quốc gia không làm thay thế hoặc chấm dứt trách nhiệm thu thập, cập nhật và cung cấp dữ liệu của địa phương. Ngược lại, dữ liệu do các Sở, ngành địa phương thu thập, rà soát và xác minh theo chức năng quản lý nhà nước trên địa bàn là nguồn đầu vào quan trọng của hệ thống, bảo đảm tính đầy đủ, chính xác và kịp thời của thông tin.</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Hệ thống thông tin quốc gia đóng vai trò nền tảng kỹ thuật và công cụ chuẩn hóa dữ liệu, giúp giảm trùng lặp, tăng hiệu quả khai thác và sử dụng thông tin; không thay thế vai trò quản lý nhà nước của địa phương. Do đó, Sở Công Thương tỉnh Phú Thọ vẫn có trách nhiệm thực hiện việc thu thập, cập nhật và cung cấp dữ liệu về doanh nghiệp công nghệ số theo quy định và theo hướng dẫn của cơ quan có thẩm quyền.</w:t>
      </w:r>
    </w:p>
    <w:p w:rsidR="00C60491" w:rsidRPr="00A53FCE" w:rsidRDefault="00C60491" w:rsidP="00A53FCE">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 xml:space="preserve">11. </w:t>
      </w:r>
      <w:r w:rsidRPr="00A53FCE">
        <w:rPr>
          <w:rFonts w:ascii="Times New Roman" w:eastAsia="Times New Roman" w:hAnsi="Times New Roman" w:cs="Times New Roman"/>
          <w:b/>
          <w:color w:val="auto"/>
          <w:sz w:val="28"/>
          <w:szCs w:val="28"/>
        </w:rPr>
        <w:t>Tại tỉnh Lào Cai, Trung tâm Đổi mới sáng tạo TechNova thuộc Trường Cao đẳng Kỹ thuật Số thực hiện hoạt động đào tạo, nghiên cứu gắn với công nghiệp công nghệ số; khi Sở Khoa học và Công nghệ yêu cầu trung tâm cập nhật định kỳ và cập nhật đột xuất dữ liệu phục vụ quản lý nhà nước, TechNova cho rằng mình không phải là doanh nghiệp nên không thuộc diện thực hiện nghĩa vụ này.</w:t>
      </w:r>
      <w:r w:rsidRPr="00A53FCE">
        <w:rPr>
          <w:rFonts w:ascii="Times New Roman" w:eastAsia="Times New Roman" w:hAnsi="Times New Roman" w:cs="Times New Roman"/>
          <w:color w:val="auto"/>
          <w:sz w:val="28"/>
          <w:szCs w:val="28"/>
        </w:rPr>
        <w:t xml:space="preserve"> </w:t>
      </w:r>
      <w:r w:rsidRPr="00A53FCE">
        <w:rPr>
          <w:rFonts w:ascii="Times New Roman" w:eastAsia="Times New Roman" w:hAnsi="Times New Roman" w:cs="Times New Roman"/>
          <w:b/>
          <w:bCs/>
          <w:color w:val="auto"/>
          <w:sz w:val="28"/>
          <w:szCs w:val="28"/>
        </w:rPr>
        <w:t>Xin hỏi theo quy định của pháp luật, trách nhiệm cung cấp và cập nhật dữ liệu của TechNova được xác định như thế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điểm a khoản 1 Điều 35 Luật Công nghiệp công nghệ số số 71/2025/QH15 ngày 14/6/2025, cơ quan, tổ chức, cá nhân, cơ sở nghiên cứu, cơ sở giáo dục đại học và cơ sở giáo dục nghề nghiệp có hoạt động liên quan đến công nghiệp công nghệ số đều có trách nhiệm cung cấp và cập nhật thông tin vào cơ sở dữ liệu công nghiệp công nghệ số. Quy định này không giới hạn đối tượng thực hiện nghĩa vụ ở phạm vi doanh nghiệp.</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Với tư cách là trung tâm đào tạo và nghiên cứu có hoạt động trực tiếp gắn với công nghiệp công nghệ số, TechNova thuộc đối tượng phải thực hiện nghĩa vụ cung cấp và cập nhật dữ liệu theo quy định của pháp luật. Việc cập nhật định kỳ nhằm bảo đảm cơ sở dữ liệu phản ánh đầy đủ, kịp thời thông tin về hoạt động đào tạo, nghiên cứu, nhân lực và năng lực đổi mới sáng tạo, phục vụ công tác quản lý nhà nước trong lĩnh vực công nghiệp công nghệ số.</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Đối với việc cập nhật đột xuất, cơ quan quản lý nhà nước có thẩm quyền được yêu cầu cung cấp thông tin trong trường hợp phát sinh nhu cầu quản lý như phục vụ công tác thống kê, xây dựng báo cáo, thanh tra, kiểm tra hoặc đồng bộ dữ liệu với hệ thống thông tin quốc gia. Khi có yêu cầu hợp pháp, TechNova có trách nhiệm phối hợp cung cấp thông tin đầy đủ, chính xác và đúng thời hạn theo quy định.</w:t>
      </w:r>
    </w:p>
    <w:p w:rsidR="00C60491" w:rsidRPr="001D0A7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12. Phát triển chip bán dẫn theo mô hình hợp tác trong chuỗi giá trị</w:t>
      </w:r>
    </w:p>
    <w:p w:rsidR="00A53FCE"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 xml:space="preserve">Tại Khu công nghệ cao thành phố Hồ Chí Minh, Công ty Việt Microchip nghiên cứu phát triển chip điều khiển chuyên dụng phục vụ thiết bị quan trắc môi trường theo mô hình tự thiết kế và hợp tác với các đơn vị trong nước thực hiện các công đoạn sản xuất, đóng gói; có ý kiến cho rằng mô hình này không đáp ứng nguyên tắc phát triển công nghiệp bán dẫn do doanh nghiệp không trực tiếp thực hiện toàn bộ chuỗi giá trị. </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việc phát triển chip chuyên dụng theo mô hình hợp tác như trên có phù hợp với nguyên tắc phát triển công nghiệp bán dẫn theo quy định của pháp luật hay không?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khoản 1 Điều 36 Luật Công nghiệp công nghệ số số 71/2025/QH15 ngày 14/6/2025, phát triển công nghiệp bán dẫn phải bảo đảm hai nguyên tắc cơ bản: (i) phát triển sản phẩm chip có tính đột phá trong ngành, lĩnh vực cụ thể; và (ii) gắn kết chặt chẽ với hệ sinh thái bán dẫn toàn cầu thông qua các công đoạn nghiên cứu, thiết kế, sản xuất, đóng gói và kiểm thử. Quy định này không đặt ra yêu cầu doanh nghiệp phải tự thực hiện toàn bộ các công đoạn trong chuỗi giá trị bán dẫn, mà nhấn mạnh yêu cầu về sự liên kết thực chất giữa các chủ thể trong hệ sinh thái.</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Đối với chip điều khiển chuyên dụng phục vụ quan trắc môi trường, tính đột phá được đánh giá trên cơ sở giá trị công nghệ, mức độ đáp ứng nhu cầu chuyên biệt và khả năng ứng dụng trong lĩnh vực cụ thể, không phụ thuộc vào việc doanh nghiệp có trực tiếp triển khai đầy đủ mọi công đoạn sản xuất hay không. Việc tập trung phát triển dòng chip chuyên dụng, tối ưu cho điều kiện đo lường và khai thác dữ liệu môi trường tại Việt Nam phù hợp với định hướng phát triển chip có tính ứng dụng cao theo tinh thần của Điều 36.</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Về yêu cầu gắn kết với hệ sinh thái bán dẫn, pháp luật thừa nhận mô hình phân công, hợp tác trong chuỗi giá trị bán dẫn là thông lệ phổ biến trên thế giới. Doanh nghiệp thiết kế chip có thể hợp tác với các đơn vị sản xuất wafer, đóng gói hoặc kiểm thử thông qua các thỏa thuận kỹ thuật hoặc hợp đồng gia công, miễn là sự liên kết này rõ ràng, thực chất và bảo đảm khả năng hình thành, hoàn thiện sản phẩm chip theo lộ trình đã xác định.</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Như vậy, với mô hình tự nghiên cứu, thiết kế và hợp tác với các đơn vị có năng lực trong các công đoạn sản xuất, đóng gói, dự án của Công ty Việt Microchip </w:t>
      </w:r>
      <w:r w:rsidRPr="00A53FCE">
        <w:rPr>
          <w:rFonts w:ascii="Times New Roman" w:eastAsia="Times New Roman" w:hAnsi="Times New Roman" w:cs="Times New Roman"/>
          <w:bCs/>
          <w:sz w:val="28"/>
          <w:szCs w:val="28"/>
        </w:rPr>
        <w:t>phù hợp với nguyên tắc phát triển công nghiệp bán dẫn</w:t>
      </w:r>
      <w:r w:rsidRPr="00C60491">
        <w:rPr>
          <w:rFonts w:ascii="Times New Roman" w:eastAsia="Times New Roman" w:hAnsi="Times New Roman" w:cs="Times New Roman"/>
          <w:sz w:val="28"/>
          <w:szCs w:val="28"/>
        </w:rPr>
        <w:t xml:space="preserve"> theo khoản 1 Điều 36 Luật Công nghiệp công nghệ số. Quan điểm cho rằng doanh nghiệp chỉ đáp ứng nguyên tắc phát triển khi tự thực hiện toàn bộ chuỗi giá trị bán dẫn là </w:t>
      </w:r>
      <w:r w:rsidRPr="00A53FCE">
        <w:rPr>
          <w:rFonts w:ascii="Times New Roman" w:eastAsia="Times New Roman" w:hAnsi="Times New Roman" w:cs="Times New Roman"/>
          <w:bCs/>
          <w:sz w:val="28"/>
          <w:szCs w:val="28"/>
        </w:rPr>
        <w:t>không phù hợp với quy định của pháp luật và không phản ánh đúng đặc thù vận hành của ngành bán dẫn hiện nay</w:t>
      </w:r>
      <w:r w:rsidRPr="00C60491">
        <w:rPr>
          <w:rFonts w:ascii="Times New Roman" w:eastAsia="Times New Roman" w:hAnsi="Times New Roman" w:cs="Times New Roman"/>
          <w:sz w:val="28"/>
          <w:szCs w:val="28"/>
        </w:rPr>
        <w:t>.</w:t>
      </w:r>
    </w:p>
    <w:p w:rsidR="00C60491" w:rsidRPr="001D0A7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13. Nhập khẩu thiết bị đã qua sử dụng phục vụ đóng gói, kiểm thử chip bán dẫn</w:t>
      </w:r>
    </w:p>
    <w:p w:rsidR="00A53FCE"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 xml:space="preserve">Tại Khu công nghiệp Nội Bài, thành phố Hà Nội, Công ty Bán dẫn An Phát triển khai dự án xây dựng xưởng đóng gói và kiểm thử chip bán dẫn phục vụ doanh nghiệp thiết kế trong nước và dự kiến nhập khẩu dây chuyền đóng gói, kiểm thử chip đã qua sử dụng để giảm chi phí đầu tư. Cơ quan hải quan yêu cầu làm rõ căn cứ pháp lý và điều kiện nhập khẩu, đồng thời có ý kiến cho rằng việc sử dụng thiết bị đã qua sử dụng có thể không phù hợp với định hướng phát triển công nghiệp bán dẫn. </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theo quy định của pháp luật, việc nhập khẩu thiết bị đã qua sử dụng trong trường hợp này có được phép hay không và cần đáp ứng những điều kiện gì?</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khoản 3 Điều 39 Luật Công nghiệp công nghệ số số 71/2025/QH15 ngày 14/6/2025, các dự án sản xuất, đóng gói và kiểm thử chip bán dẫn được phép nhập khẩu dây chuyền công nghệ, thiết bị, máy móc và công cụ đã qua sử dụng, với điều kiện các thiết bị này phục vụ trực tiếp cho hoạt động sản xuất, đóng gói và kiểm thử chip, đồng thời đáp ứng tiêu chí do Bộ trưởng Bộ Khoa học và Công nghệ ban hành theo thẩm quyền. Quy định này thiết lập cơ chế đặc thù nhằm hỗ trợ doanh nghiệp trong nước hình thành và phát triển năng lực đóng gói, kiểm thử chip, nhất là trong giai đoạn đầu khi chi phí đầu tư thiết bị mới rất lớn.</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Luật không đặt ra yêu cầu bắt buộc thiết bị nhập khẩu phải là thiết bị mới, mà tập trung vào các tiêu chí về tính phù hợp kỹ thuật, an toàn vận hành và khả năng đáp ứng yêu cầu của dây chuyền sản xuất bán dẫn. Vì vậy, quan điểm cho rằng việc sử dụng thiết bị đã qua sử dụng mặc nhiên không phù hợp với định hướng phát triển công nghiệp bán dẫn là không phù hợp với tinh thần và nội dung của Điều 39.</w:t>
      </w:r>
    </w:p>
    <w:p w:rsidR="00FC12B5"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Để việc nhập khẩu được chấp thuận, doanh nghiệp phải chứng minh đầy đủ các điều kiện sau:</w:t>
      </w:r>
    </w:p>
    <w:p w:rsidR="00FC12B5"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(i) thiết bị được nhập khẩu phục vụ trực tiếp cho công đoạn đóng gói, kiểm thử chip bán dẫn;</w:t>
      </w:r>
    </w:p>
    <w:p w:rsidR="00FC12B5"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(ii) thiết bị còn khả năng vận hành, có hồ sơ kỹ thuật, nguồn gốc xuất xứ và tài liệu đánh giá chất lượng rõ ràng;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(iii) thiết bị đáp ứng các tiêu chí cụ thể về tuổi thiết bị, hiệu suất, chất lượng và an toàn theo quy định của Bộ Khoa học và Công nghệ và các văn bản hướng dẫn có liên quan.</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Khi đáp ứng đầy đủ các điều kiện nêu trên, việc nhập khẩu dây chuyền đóng gói, kiểm thử chip đã qua sử dụng </w:t>
      </w:r>
      <w:r w:rsidRPr="00A53FCE">
        <w:rPr>
          <w:rFonts w:ascii="Times New Roman" w:eastAsia="Times New Roman" w:hAnsi="Times New Roman" w:cs="Times New Roman"/>
          <w:bCs/>
          <w:sz w:val="28"/>
          <w:szCs w:val="28"/>
        </w:rPr>
        <w:t>được pháp luật cho phép và phù hợp với định hướng phát triển công nghiệp bán dẫn</w:t>
      </w:r>
      <w:r w:rsidRPr="00C60491">
        <w:rPr>
          <w:rFonts w:ascii="Times New Roman" w:eastAsia="Times New Roman" w:hAnsi="Times New Roman" w:cs="Times New Roman"/>
          <w:sz w:val="28"/>
          <w:szCs w:val="28"/>
        </w:rPr>
        <w:t xml:space="preserve"> theo Luật Công nghiệp công nghệ số.</w:t>
      </w:r>
    </w:p>
    <w:p w:rsidR="00A53FCE" w:rsidRDefault="00C60491" w:rsidP="00A53FCE">
      <w:pPr>
        <w:pStyle w:val="Heading3"/>
        <w:spacing w:before="0" w:line="360" w:lineRule="auto"/>
        <w:jc w:val="both"/>
        <w:rPr>
          <w:rFonts w:ascii="Times New Roman" w:eastAsia="Times New Roman" w:hAnsi="Times New Roman" w:cs="Times New Roman"/>
          <w:color w:val="auto"/>
          <w:sz w:val="28"/>
          <w:szCs w:val="28"/>
        </w:rPr>
      </w:pPr>
      <w:r w:rsidRPr="00A53FCE">
        <w:rPr>
          <w:rFonts w:ascii="Times New Roman" w:hAnsi="Times New Roman" w:cs="Times New Roman"/>
          <w:b/>
          <w:color w:val="auto"/>
          <w:sz w:val="28"/>
          <w:szCs w:val="28"/>
        </w:rPr>
        <w:t xml:space="preserve">14. </w:t>
      </w:r>
      <w:r w:rsidRPr="00A53FCE">
        <w:rPr>
          <w:rFonts w:ascii="Times New Roman" w:eastAsia="Times New Roman" w:hAnsi="Times New Roman" w:cs="Times New Roman"/>
          <w:b/>
          <w:color w:val="auto"/>
          <w:sz w:val="28"/>
          <w:szCs w:val="28"/>
        </w:rPr>
        <w:t>Tại Khu chế xuất thuộc Khu công nghiệp Nghi Sơn, tỉnh Thanh Hóa, Công ty SEVIC-Pack triển khai dự án đóng gói và kiểm thử chip bán dẫn cho khách hàng nước ngoài. Theo chỉ định của thương nhân nước ngoài, SEVIC-Pack nhận linh kiện bán dẫn từ Công ty MinoTech và giao thành phẩm cho Công ty Etronix, đều là doanh nghiệp chế xuất trong cùng khu; toàn bộ hoạt động giao – nhận được thực hiện tại chỗ, không có hàng hóa rời khỏi lãnh thổ Việt Nam. Trong quá trình làm thủ tục hải quan, phát sinh ý kiến cho rằng chỉ khi hàng hóa ra khỏi Việt Nam mới được coi là xuất khẩu, nhập khẩu tại chỗ, đồng thời đặt vấn đề về nghĩa vụ thuế thu nhập doanh nghiệp đối với thương nhân nước ngoài</w:t>
      </w:r>
      <w:r w:rsidRPr="00A53FCE">
        <w:rPr>
          <w:rFonts w:ascii="Times New Roman" w:eastAsia="Times New Roman" w:hAnsi="Times New Roman" w:cs="Times New Roman"/>
          <w:color w:val="auto"/>
          <w:sz w:val="28"/>
          <w:szCs w:val="28"/>
        </w:rPr>
        <w:t xml:space="preserve">. </w:t>
      </w:r>
    </w:p>
    <w:p w:rsidR="00C60491" w:rsidRPr="00A53FCE" w:rsidRDefault="00C60491" w:rsidP="00A53FCE">
      <w:pPr>
        <w:pStyle w:val="Heading3"/>
        <w:spacing w:before="0" w:line="360" w:lineRule="auto"/>
        <w:jc w:val="both"/>
        <w:rPr>
          <w:rFonts w:ascii="Times New Roman" w:eastAsia="Times New Roman" w:hAnsi="Times New Roman" w:cs="Times New Roman"/>
          <w:b/>
          <w:bCs/>
          <w:color w:val="auto"/>
          <w:sz w:val="28"/>
          <w:szCs w:val="28"/>
        </w:rPr>
      </w:pPr>
      <w:r w:rsidRPr="00A53FCE">
        <w:rPr>
          <w:rFonts w:ascii="Times New Roman" w:eastAsia="Times New Roman" w:hAnsi="Times New Roman" w:cs="Times New Roman"/>
          <w:b/>
          <w:bCs/>
          <w:color w:val="auto"/>
          <w:sz w:val="28"/>
          <w:szCs w:val="28"/>
        </w:rPr>
        <w:t>Xin hỏi theo quy định của pháp luật, việc áp dụng thủ tục xuất khẩu, nhập khẩu tại chỗ và việc xử lý thuế đối với khoản thu nhập phát sinh tại Việt Nam được xác định như thế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khoản 4 Điều 40 Luật Công nghiệp công nghệ số số 71/2025/QH15 ngày 14/6/2025, hoạt động giao, nhận hàng hóa tại chỗ giữa các doanh nghiệp chế xuất thực hiện dự án sản xuất, đóng gói, kiểm thử chip bán dẫn; doanh nghiệp chế xuất sản xuất thiết bị điện tử; và doanh nghiệp chế xuất sản xuất sản phẩm phụ trợ trực tiếp trong công nghiệp bán dẫn, khi thực hiện theo chỉ định giao – nhận của thương nhân nước ngoài, thì được áp dụng thủ tục xuất khẩu, nhập khẩu tại chỗ theo quy định của pháp luật về hải quan. Quy định này không đặt ra điều kiện hàng hóa phải rời khỏi lãnh thổ Việt Nam, mà lấy tính chất giao dịch trong chuỗi cung ứng bán dẫn và chỉ định hợp pháp của thương nhân nước ngoài làm căn cứ áp dụng.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Trong trường hợp nêu trên, việc Công ty SEVIC-Pack nhận linh kiện từ Công ty MinoTech và giao thành phẩm cho Công ty Etronix theo đúng chỉ định của thương nhân nước ngoài đáp ứng đầy đủ điều kiện quy định tại khoản 4 Điều 40. Do đó, quan điểm cho rằng chỉ khi hàng hóa được đưa ra khỏi lãnh thổ Việt Nam mới được coi là xuất khẩu, nhập khẩu tại chỗ là </w:t>
      </w:r>
      <w:r w:rsidRPr="00A53FCE">
        <w:rPr>
          <w:rFonts w:ascii="Times New Roman" w:eastAsia="Times New Roman" w:hAnsi="Times New Roman" w:cs="Times New Roman"/>
          <w:bCs/>
          <w:sz w:val="28"/>
          <w:szCs w:val="28"/>
        </w:rPr>
        <w:t>không phù hợp với quy định của pháp luật</w:t>
      </w:r>
      <w:r w:rsidRPr="00C60491">
        <w:rPr>
          <w:rFonts w:ascii="Times New Roman" w:eastAsia="Times New Roman" w:hAnsi="Times New Roman" w:cs="Times New Roman"/>
          <w:sz w:val="28"/>
          <w:szCs w:val="28"/>
        </w:rPr>
        <w:t xml:space="preserve"> và không phản ánh đúng đặc thù vận hành của chuỗi cung ứng bán dẫn trong khu chế xuất.</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Đối với khoản thu nhập phát sinh tại Việt Nam của thương nhân nước ngoài, khoản 4 Điều 40 Luật Công nghiệp công nghệ số xác định việc xử lý được thực hiện theo pháp luật về thuế thu nhập doanh nghiệp, bảo đảm nguyên tắc không đánh trùng thuế theo quy định của pháp luật thuế và các điều ước quốc tế có liên quan (nếu có). Theo đó, thương nhân nước ngoài có trách nhiệm thực hiện nghĩa vụ thuế đối với phần thu nhập thuộc diện chịu thuế tại Việt Nam theo quy định; đồng thời được áp dụng các cơ chế tránh đánh thuế hai lần theo pháp luật về thuế và các điều ước quốc tế mà Việt Nam là thành viên. Việc xác định nghĩa vụ thuế được thực hiện trên cơ sở hợp đồng, dòng hàng hóa và bản chất giao dịch, không phụ thuộc vào việc hàng hóa có rời khỏi lãnh thổ Việt Nam hay không.</w:t>
      </w:r>
    </w:p>
    <w:p w:rsidR="00C60491" w:rsidRPr="001D0A70" w:rsidRDefault="00C60491" w:rsidP="001D0A70">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15. Nguyên tắc pháp lý đối với trí tuệ nhân tạo trong giai đoạn thử nghiệm</w:t>
      </w:r>
    </w:p>
    <w:p w:rsidR="00C60491" w:rsidRPr="00C60491" w:rsidRDefault="00C60491" w:rsidP="001D0A70">
      <w:pPr>
        <w:spacing w:after="0" w:line="360" w:lineRule="auto"/>
        <w:jc w:val="both"/>
        <w:rPr>
          <w:rFonts w:ascii="Times New Roman" w:eastAsia="Times New Roman" w:hAnsi="Times New Roman" w:cs="Times New Roman"/>
          <w:b/>
          <w:sz w:val="28"/>
          <w:szCs w:val="28"/>
        </w:rPr>
      </w:pPr>
      <w:r w:rsidRPr="00C60491">
        <w:rPr>
          <w:rFonts w:ascii="Times New Roman" w:eastAsia="Times New Roman" w:hAnsi="Times New Roman" w:cs="Times New Roman"/>
          <w:b/>
          <w:sz w:val="28"/>
          <w:szCs w:val="28"/>
        </w:rPr>
        <w:t>Công ty VietAI Systems tại tỉnh Điện Biên phát triển hệ thống trí tuệ nhân tạo phục vụ đánh giá ứng viên tuyển dụng. Trong quá trình thử nghiệm, hệ thống bị phản ánh có dấu hiệu chấm điểm thấp hơn đối với ứng viên nữ và ưu tiên ứng viên dưới 35 tuổi dù hồ sơ, trình độ tương đương. Doanh nghiệp cho rằng hệ thống đang trong giai đoạn thử nghiệm nội bộ và sai lệch xuất phát từ dữ liệu huấn luyện lịch sử nên chưa thể coi là vi phạm pháp luật.</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theo quy định của Luật Công nghiệp công nghệ số, việc áp dụng các nguyên tắc “lấy con người làm trung tâm”, “không phân biệt đối xử” và “tôn trọng quyền, lợi ích hợp pháp của cá nhân” trong giai đoạn thử nghiệm hệ thống trí tuệ nhân tạo được xác định như thế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Theo điểm a khoản 1 Điều 41 Luật Công nghiệp công nghệ số số 71/2025/QH15 ngày 14/6/2025, các nguyên tắc đối với trí tuệ nhân tạo được áp dụng xuyên suốt toàn bộ vòng đời của hệ thống, bao gồm từ giai đoạn thiết kế, phát triển, thử nghiệm đến cung cấp và triển khai sử dụng. Quy định này khẳng định pháp luật </w:t>
      </w:r>
      <w:r w:rsidRPr="001D0A70">
        <w:rPr>
          <w:rFonts w:ascii="Times New Roman" w:eastAsia="Times New Roman" w:hAnsi="Times New Roman" w:cs="Times New Roman"/>
          <w:b/>
          <w:bCs/>
          <w:sz w:val="28"/>
          <w:szCs w:val="28"/>
        </w:rPr>
        <w:t>không phân biệt giữa giai đoạn thử nghiệm và giai đoạn vận hành chính thức</w:t>
      </w:r>
      <w:r w:rsidRPr="00C60491">
        <w:rPr>
          <w:rFonts w:ascii="Times New Roman" w:eastAsia="Times New Roman" w:hAnsi="Times New Roman" w:cs="Times New Roman"/>
          <w:sz w:val="28"/>
          <w:szCs w:val="28"/>
        </w:rPr>
        <w:t xml:space="preserve"> khi xem xét việc tuân thủ các nguyên tắc bảo vệ con người, quyền con người và quyền công dân. Do đó, quan điểm cho rằng hệ thống đang thử nghiệm nên không chịu sự điều chỉnh của các nguyên tắc pháp lý là </w:t>
      </w:r>
      <w:r w:rsidRPr="00A53FCE">
        <w:rPr>
          <w:rFonts w:ascii="Times New Roman" w:eastAsia="Times New Roman" w:hAnsi="Times New Roman" w:cs="Times New Roman"/>
          <w:bCs/>
          <w:sz w:val="28"/>
          <w:szCs w:val="28"/>
        </w:rPr>
        <w:t>không phù hợp với nội dung và tinh thần của điều luật</w:t>
      </w:r>
      <w:r w:rsidRPr="00C60491">
        <w:rPr>
          <w:rFonts w:ascii="Times New Roman" w:eastAsia="Times New Roman" w:hAnsi="Times New Roman" w:cs="Times New Roman"/>
          <w:sz w:val="28"/>
          <w:szCs w:val="28"/>
        </w:rPr>
        <w:t>.</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Việc hệ thống trí tuệ nhân tạo tạo ra kết quả đánh giá có dấu hiệu thiên lệch theo giới tính hoặc độ tuổi, kể cả trong giai đoạn thử nghiệm, đã tiềm ẩn nguy cơ ảnh hưởng trực tiếp đến quyền và lợi ích hợp pháp của cá nhân, đặc biệt là quyền tiếp cận cơ hội việc làm một cách bình đẳng. Trường hợp kết quả thử nghiệm được sử dụng để hỗ trợ hoặc tác động đến quyết định tuyển dụng, rủi ro xâm phạm quyền con người đã phát sinh và không được coi là ngoại lệ hợp pháp.</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Việc doanh nghiệp viện dẫn nguyên nhân sai lệch từ dữ liệu lịch sử không làm giảm trách nhiệm pháp lý trong quá trình phát triển hệ thống trí tuệ nhân tạo. Theo nguyên tắc quản trị trí tuệ nhân tạo, đơn vị phát triển có trách nhiệm đánh giá rủi ro, kiểm soát chất lượng dữ liệu, thiết kế mô hình và áp dụng các biện pháp kỹ thuật cần thiết nhằm phòng ngừa, phát hiện và khắc phục hiện tượng phân biệt đối xử. Nếu để hệ thống, dù đang trong giai đoạn thử nghiệm, tạo ra kết quả trái với nguyên tắc công bằng và không phân biệt đối xử, thì nguy cơ vi phạm Điều 41 Luật Công nghiệp công nghệ số vẫn được đặt ra.</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Vì vậy, VietAI Systems có trách nhiệm bảo đảm việc phát triển và thử nghiệm hệ thống trí tuệ nhân tạo tuân thủ đầy đủ các nguyên tắc lấy con người làm trung tâm, không phân biệt đối xử và tôn trọng quyền, lợi ích hợp pháp của cá nhân. Sai lệch phát sinh trong giai đoạn thử nghiệm </w:t>
      </w:r>
      <w:r w:rsidRPr="00A53FCE">
        <w:rPr>
          <w:rFonts w:ascii="Times New Roman" w:eastAsia="Times New Roman" w:hAnsi="Times New Roman" w:cs="Times New Roman"/>
          <w:bCs/>
          <w:sz w:val="28"/>
          <w:szCs w:val="28"/>
        </w:rPr>
        <w:t>không được coi là ngoại lệ pháp lý</w:t>
      </w:r>
      <w:r w:rsidRPr="00C60491">
        <w:rPr>
          <w:rFonts w:ascii="Times New Roman" w:eastAsia="Times New Roman" w:hAnsi="Times New Roman" w:cs="Times New Roman"/>
          <w:sz w:val="28"/>
          <w:szCs w:val="28"/>
        </w:rPr>
        <w:t>, mà phải được nhận diện, điều chỉnh và khắc phục trước khi hệ thống được đưa vào sử dụng trong thực tiễn.</w:t>
      </w:r>
    </w:p>
    <w:p w:rsidR="00C60491" w:rsidRPr="00C60491" w:rsidRDefault="00C60491" w:rsidP="00FC12B5">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 xml:space="preserve">16. </w:t>
      </w:r>
      <w:r w:rsidRPr="00C60491">
        <w:rPr>
          <w:rFonts w:ascii="Times New Roman" w:eastAsia="Times New Roman" w:hAnsi="Times New Roman" w:cs="Times New Roman"/>
          <w:b/>
          <w:color w:val="auto"/>
          <w:sz w:val="28"/>
          <w:szCs w:val="28"/>
        </w:rPr>
        <w:t>Tỉnh Sơn La đang xây dựng chiến lược nghiên cứu, phát triển và ứng dụng trí tuệ nhân tạo trong lĩnh vực nông nghiệp thông minh giai đoạn 2026–2035. Có ý kiến cho rằng việc xây dựng chiến lược cấp tỉnh là không cần thiết do công nghệ thay đổi nhanh và nguồn lực địa phương còn hạn chế, nên chỉ cần tập trung mua sắm phần mềm, thiết bị sẵn có.</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theo quy định của Luật Công nghiệp công nghệ số, cơ sở pháp lý và các nguyên tắc cần tuân thủ khi xây dựng chiến lược trí tuệ nhân tạo ở địa phương được xác định như thế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Theo khoản 1 Điều 42 Luật Công nghiệp công nghệ số số 71/2025/QH15 ngày 14/6/2025, chiến lược nghiên cứu, phát triển và ứng dụng trí tuệ nhân tạo phải được xây dựng trên cơ sở định hướng phát triển kinh tế – xã hội, quốc phòng, an ninh; đồng thời bám sát xu thế công nghệ toàn cầu và phù hợp với điều kiện, tiềm năng, thế mạnh của quốc gia. Quy định này không chỉ áp dụng cho chiến lược ở cấp trung ương mà còn là nguyên tắc chung chi phối việc xây dựng chiến lược ở cấp địa phương, đặc biệt đối với các lĩnh vực có tác động trực tiếp đến phát triển kinh tế – xã hội như nông nghiệp.</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Việc xây dựng chiến lược trí tuệ nhân tạo ở địa phương không phải là lựa chọn mang tính tùy nghi. Chiến lược đóng vai trò định hướng dài hạn, giúp địa phương xác định rõ mục tiêu, phạm vi ưu tiên, lộ trình đầu tư, phát triển nguồn nhân lực và lựa chọn giải pháp công nghệ phù hợp. Nếu chỉ tập trung mua sắm phần mềm, thiết bị rời rạc mà không có chiến lược, việc ứng dụng trí tuệ nhân tạo dễ rơi vào tình trạng manh mún, phụ thuộc vào nhà cung cấp, thiếu liên kết giữa các chương trình và không bảo đảm hiệu quả bền vững.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Quy định về việc “bám sát xu thế công nghệ toàn cầu” không đặt ra yêu cầu địa phương phải tự nghiên cứu, phát triển công nghệ lõi hay chạy theo các công nghệ mới nhất, mà nhấn mạnh việc nhận diện, tiếp thu và lựa chọn các xu hướng phù hợp với thực tiễn của địa phương, tránh đầu tư theo phong trào hoặc áp dụng công nghệ vượt quá khả năng khai thác. Do đó, ngay cả trong bối cảnh công nghệ thay đổi nhanh, chiến lược vẫn là công cụ cần thiết để bảo đảm sự chủ động, linh hoạt và có định hướng trong quá trình ứng dụng trí tuệ nhân tạo.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Điều 42 cũng yêu cầu chiến lược phải gắn với điều kiện, tiềm năng và thế mạnh của địa phương. Đối với tỉnh Sơn La, nơi nông nghiệp giữ vai trò quan trọng trong cơ cấu kinh tế và có nhu cầu rõ ràng về nông nghiệp thông minh, việc xây dựng chiến lược ứng dụng trí tuệ nhân tạo trong lĩnh vực này là phù hợp với đặc thù phát triển của tỉnh. Chiến lược giúp địa phương xác định trọng tâm ứng dụng, ưu tiên nguồn lực và hình thành hệ sinh thái doanh nghiệp, nghiên cứu và đào tạo gắn với nông nghiệp công nghệ cao.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Vì vậy, theo khoản 1 Điều 42 Luật Công nghiệp công nghệ số, việc xây dựng chiến lược nghiên cứu, phát triển và ứng dụng trí tuệ nhân tạo ở cấp tỉnh là </w:t>
      </w:r>
      <w:r w:rsidRPr="001D0A70">
        <w:rPr>
          <w:rFonts w:ascii="Times New Roman" w:eastAsia="Times New Roman" w:hAnsi="Times New Roman" w:cs="Times New Roman"/>
          <w:b/>
          <w:bCs/>
          <w:sz w:val="28"/>
          <w:szCs w:val="28"/>
        </w:rPr>
        <w:t>cần thiết</w:t>
      </w:r>
      <w:r w:rsidRPr="00C60491">
        <w:rPr>
          <w:rFonts w:ascii="Times New Roman" w:eastAsia="Times New Roman" w:hAnsi="Times New Roman" w:cs="Times New Roman"/>
          <w:sz w:val="28"/>
          <w:szCs w:val="28"/>
        </w:rPr>
        <w:t xml:space="preserve"> và phải được thực hiện trên cơ sở định hướng phát triển kinh tế – xã hội, phù hợp với xu thế công nghệ và điều kiện thực tế của địa phương, nhằm bảo đảm việc ứng dụng trí tuệ nhân tạo có hiệu quả, bền vững và tránh triển khai rời rạc, thiếu định hướng dài hạn.</w:t>
      </w:r>
    </w:p>
    <w:p w:rsidR="00C60491" w:rsidRPr="00A53FCE" w:rsidRDefault="00C60491" w:rsidP="00A53FCE">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 xml:space="preserve">17. </w:t>
      </w:r>
      <w:r w:rsidRPr="00A53FCE">
        <w:rPr>
          <w:rFonts w:ascii="Times New Roman" w:eastAsia="Times New Roman" w:hAnsi="Times New Roman" w:cs="Times New Roman"/>
          <w:b/>
          <w:color w:val="auto"/>
          <w:sz w:val="28"/>
          <w:szCs w:val="28"/>
        </w:rPr>
        <w:t>Tại Bệnh viện Đa khoa tỉnh Quảng Trị, Công ty MedTech Việt Nam triển khai thử nghiệm hệ thống trí tuệ nhân tạo đánh giá nguy cơ nhồi máu cơ tim để hỗ trợ bác sĩ. Trong quá trình vận hành, hệ thống có trường hợp đánh giá nguy cơ thấp dẫn đến can thiệp chậm, ảnh hưởng đến diễn biến bệnh. Doanh nghiệp cho rằng hệ thống đang thử nghiệm, chỉ mang tính hỗ trợ nên không thuộc loại trí tuệ nhân tạo rủi ro cao.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theo quy định của Luật Công nghiệp công nghệ số, việc xác định tính chất rủi ro của hệ thống trí tuệ nhân tạo để áp dụng cơ chế quản lý phù hợp được thực hiện như thế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Theo khoản 1 Điều 43 Luật Công nghiệp công nghệ số số 71/2025/QH15 ngày 14/6/2025, hệ thống trí tuệ nhân tạo rủi ro cao là hệ thống có khả năng gây rủi ro hoặc tổn hại nghiêm trọng đến sức khỏe con người, quyền và lợi ích hợp pháp của cá nhân, tổ chức hoặc đến trật tự, an toàn xã hội. Việc xác định hệ thống có thuộc diện rủi ro cao hay không được căn cứ vào </w:t>
      </w:r>
      <w:r w:rsidRPr="00A53FCE">
        <w:rPr>
          <w:rFonts w:ascii="Times New Roman" w:eastAsia="Times New Roman" w:hAnsi="Times New Roman" w:cs="Times New Roman"/>
          <w:bCs/>
          <w:sz w:val="28"/>
          <w:szCs w:val="28"/>
        </w:rPr>
        <w:t>bối cảnh sử dụng thực tế và khả năng gây hại</w:t>
      </w:r>
      <w:r w:rsidRPr="00C60491">
        <w:rPr>
          <w:rFonts w:ascii="Times New Roman" w:eastAsia="Times New Roman" w:hAnsi="Times New Roman" w:cs="Times New Roman"/>
          <w:sz w:val="28"/>
          <w:szCs w:val="28"/>
        </w:rPr>
        <w:t>, không phụ thuộc vào việc hệ thống đã thương mại hóa hay đang trong giai đoạn thử nghiệm.</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Trong trường hợp này, hệ thống trí tuệ nhân tạo được sử dụng để đánh giá nguy cơ bệnh lý tim mạch cấp tính, là lĩnh vực có liên quan trực tiếp đến tính mạng và sức khỏe người bệnh. Khi kết quả phân loại của hệ thống được bác sĩ tham khảo để định hướng quyết định can thiệp ban đầu, nguy cơ gây tổn hại sức khỏe là hiện hữu nếu hệ thống đánh giá sai. Việc thực tế đã phát sinh trường hợp can thiệp chậm do hệ thống xếp bệnh nhân vào nhóm nguy cơ thấp cho thấy khả năng gây hại không mang tính giả định mà đã xuất hiện trong quá trình vận hành.</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Lập luận cho rằng hệ thống “chỉ mang tính hỗ trợ bác sĩ” không đủ căn cứ pháp lý để loại trừ việc xác định đây là hệ thống trí tuệ nhân tạo rủi ro cao. Theo khoản 1 Điều 43, các trường hợp được loại trừ chỉ áp dụng đối với hệ thống có tác động hạn chế, không ảnh hưởng đến các quyết định liên quan trực tiếp đến sức khỏe, tính mạng hoặc quyền lợi của con người. Trong khi đó, hệ thống của MedTech Việt Nam tham gia trực tiếp vào quy trình đánh giá y khoa và có khả năng tác động đến quyết định điều trị, nên không thuộc diện được loại trừ.</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Vì vậy, theo khoản 1 Điều 43 Luật Công nghiệp công nghệ số, hệ thống trí tuệ nhân tạo đánh giá nguy cơ nhồi máu cơ tim do MedTech Việt Nam triển khai phải được xác định là </w:t>
      </w:r>
      <w:r w:rsidRPr="00A53FCE">
        <w:rPr>
          <w:rFonts w:ascii="Times New Roman" w:eastAsia="Times New Roman" w:hAnsi="Times New Roman" w:cs="Times New Roman"/>
          <w:bCs/>
          <w:sz w:val="28"/>
          <w:szCs w:val="28"/>
        </w:rPr>
        <w:t>hệ thống trí tuệ nhân tạo rủi ro cao</w:t>
      </w:r>
      <w:r w:rsidRPr="00C60491">
        <w:rPr>
          <w:rFonts w:ascii="Times New Roman" w:eastAsia="Times New Roman" w:hAnsi="Times New Roman" w:cs="Times New Roman"/>
          <w:sz w:val="28"/>
          <w:szCs w:val="28"/>
        </w:rPr>
        <w:t>. Việc hệ thống đang trong giai đoạn thử nghiệm hoặc được mô tả là công cụ hỗ trợ không làm thay đổi bản chất rủi ro và không loại trừ trách nhiệm áp dụng cơ chế quản lý tương ứng theo quy định của pháp luật.</w:t>
      </w:r>
    </w:p>
    <w:p w:rsidR="00C60491" w:rsidRPr="00A53FCE" w:rsidRDefault="00C60491" w:rsidP="00A53FCE">
      <w:pPr>
        <w:pStyle w:val="Heading3"/>
        <w:spacing w:before="0" w:line="360" w:lineRule="auto"/>
        <w:jc w:val="both"/>
        <w:rPr>
          <w:rFonts w:ascii="Times New Roman" w:eastAsia="Times New Roman" w:hAnsi="Times New Roman" w:cs="Times New Roman"/>
          <w:b/>
          <w:bCs/>
          <w:color w:val="auto"/>
          <w:sz w:val="28"/>
          <w:szCs w:val="28"/>
        </w:rPr>
      </w:pPr>
      <w:r w:rsidRPr="001D0A70">
        <w:rPr>
          <w:rFonts w:ascii="Times New Roman" w:eastAsia="Times New Roman" w:hAnsi="Times New Roman" w:cs="Times New Roman"/>
          <w:b/>
          <w:bCs/>
          <w:color w:val="auto"/>
          <w:sz w:val="28"/>
          <w:szCs w:val="28"/>
        </w:rPr>
        <w:t xml:space="preserve">18. </w:t>
      </w:r>
      <w:r w:rsidRPr="00A53FCE">
        <w:rPr>
          <w:rFonts w:ascii="Times New Roman" w:eastAsia="Times New Roman" w:hAnsi="Times New Roman" w:cs="Times New Roman"/>
          <w:b/>
          <w:color w:val="auto"/>
          <w:sz w:val="28"/>
          <w:szCs w:val="28"/>
        </w:rPr>
        <w:t>Công ty ChatBot Việt phát triển hệ thống trí tuệ nhân tạo tư vấn thủ tục hành chính cho người dân trên website của UBND phường Ba Đình, giao tiếp bằng giọng nói và văn bản, mô phỏng cách trả lời của cán bộ một cửa. Trong giai đoạn thử nghiệm, doanh nghiệp không gắn thông báo cho biết người sử dụng đang tương tác với trí tuệ nhân tạo, với lý do muốn tạo trải nghiệm tự nhiên và cho rằng người dùng có thể tự nhận biết.</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theo quy định của pháp luật, hệ thống trí tuệ nhân tạo trong trường hợp này có bắt buộc phải gắn dấu hiệu nhận dạng hay không?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Khoản 1 Điều 44 Luật Công nghiệp công nghệ số số 71/2025/QH15 quy định hệ thống trí tuệ nhân tạo tương tác trực tiếp với con người phải thông báo rõ ràng cho người sử dụng biết họ đang tương tác với hệ thống trí tuệ nhân tạo, trừ trường hợp người sử dụng hiển nhiên biết điều đó. Quy định này nhằm bảo đảm tính minh bạch, quyền được biết và khả năng tự quyết của người dân, đặc biệt trong hoạt động cung cấp dịch vụ công.</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Trong trường hợp nêu trên, hệ thống trí tuệ nhân tạo mô phỏng giọng nói và cách giao tiếp của cán bộ tiếp nhận hồ sơ, dẫn đến việc ngay cả cán bộ phường tham gia kiểm tra cũng có thể nhầm lẫn là người thật. Điều này cho thấy người sử dụng không thể hiển nhiên biết rằng họ đang tương tác với trí tuệ nhân tạo. Khi khả năng nhầm lẫn tồn tại trên thực tế, nghĩa vụ gắn thông báo nhận dạng trở thành yêu cầu bắt buộc theo quy định của pháp luật.</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Lập luận cho rằng “giọng máy thì người dùng tự hiểu” hoặc việc hệ thống đang trong giai đoạn thử nghiệm không làm phát sinh ngoại lệ về nghĩa vụ thông báo. Luật Công nghiệp công nghệ số không phân biệt giữa giai đoạn thử nghiệm và giai đoạn triển khai chính thức; chỉ cần hệ thống trí tuệ nhân tạo có tương tác trực tiếp với con người thì nghĩa vụ thông báo phải được thực hiện đầy đủ.</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 xml:space="preserve">Do đó, hệ thống trí tuệ nhân tạo tư vấn thủ tục hành chính của Công ty ChatBot Việt </w:t>
      </w:r>
      <w:r w:rsidRPr="00A53FCE">
        <w:rPr>
          <w:rFonts w:ascii="Times New Roman" w:eastAsia="Times New Roman" w:hAnsi="Times New Roman" w:cs="Times New Roman"/>
          <w:bCs/>
          <w:sz w:val="28"/>
          <w:szCs w:val="28"/>
        </w:rPr>
        <w:t>bắt buộc phải hiển thị thông báo rõ ràng</w:t>
      </w:r>
      <w:r w:rsidRPr="00C60491">
        <w:rPr>
          <w:rFonts w:ascii="Times New Roman" w:eastAsia="Times New Roman" w:hAnsi="Times New Roman" w:cs="Times New Roman"/>
          <w:sz w:val="28"/>
          <w:szCs w:val="28"/>
        </w:rPr>
        <w:t xml:space="preserve"> để người sử dụng biết họ đang tương tác với trí tuệ nhân tạo theo quy định tại khoản 1 Điều 44 Luật Công nghiệp công nghệ số.</w:t>
      </w:r>
    </w:p>
    <w:p w:rsidR="00C60491" w:rsidRPr="00C60491" w:rsidRDefault="00A53FCE" w:rsidP="001D0A70">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19. </w:t>
      </w:r>
      <w:r w:rsidR="00C60491" w:rsidRPr="00C60491">
        <w:rPr>
          <w:rFonts w:ascii="Times New Roman" w:eastAsia="Times New Roman" w:hAnsi="Times New Roman" w:cs="Times New Roman"/>
          <w:b/>
          <w:sz w:val="28"/>
          <w:szCs w:val="28"/>
        </w:rPr>
        <w:t>Bệnh viện Đa khoa An Thịnh tại tỉnh Phú Thọ đưa vào sử dụng hệ thống trí tuệ nhân tạo hỗ trợ đọc X-quang và gợi ý chẩn đoán ban đầu, do doanh nghiệp cung cấp và viện nghiên cứu phát triển thuật toán. Hệ thống được vận hành trong hoạt động khám chữa bệnh, bác sĩ sử dụng kết quả do trí tuệ nhân tạo đưa ra để tham khảo khi chẩn đoán. Trong quá trình thử nghiệm, phát sinh trường hợp hệ thống khuyến nghị sai, gây lúng túng trong việc xác nhận chẩn đoán và có ý kiến từ phía gia đình người bệnh về trách nhiệm.</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theo quy định của pháp luật, ai được xác định là chủ thể triển khai sử dụng hệ thống trí tuệ nhân tạo và trách nhiệm thuộc về chủ thể nào?</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Khoản 1 điểm c Điều 45 Luật Công nghiệp công nghệ số số 71/2025/QH15 quy định chủ thể triển khai sử dụng hệ thống trí tuệ nhân tạo là tổ chức hoặc cá nhân có thẩm quyền quản lý hệ thống trong thực tế vận hành. Quy định này nhằm xác định rõ đơn vị chịu trách nhiệm trực tiếp khi hệ thống trí tuệ nhân tạo được đưa vào môi trường sử dụng, nơi kết quả của hệ thống có thể tác động đến quyền, lợi ích hợp pháp và an toàn của con người.</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Trong trường hợp nêu trên, mặc dù hệ thống do doanh nghiệp cung cấp và thuật toán do viện nghiên cứu phát triển, Bệnh viện Đa khoa An Thịnh là đơn vị quyết định việc triển khai, quản lý và tích hợp hệ thống trí tuệ nhân tạo vào quy trình khám chữa bệnh. Bệnh viện phê duyệt việc đưa hệ thống vào sử dụng, bố trí nhân sự vận hành, hướng dẫn đội ngũ y bác sĩ khai thác kết quả và chịu trách nhiệm cuối cùng đối với hoạt động chuyên môn y tế. Vì vậy, bệnh viện được xác định là chủ thể triển khai sử dụng hệ thống trí tuệ nhân tạo theo quy định tại khoản 1 điểm c Điều 45 Luật Công nghiệp công nghệ số.</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Đơn vị cung cấp hệ thống có trách nhiệm bảo đảm chất lượng kỹ thuật, bảo trì và khắc phục lỗi theo hợp đồng; viện nghiên cứu chịu trách nhiệm đối với thuật toán trong phạm vi nghiên cứu và chuyển giao. Tuy nhiên, trong môi trường khám chữa bệnh, nơi kết quả gợi ý của trí tuệ nhân tạo có thể ảnh hưởng trực tiếp đến sức khỏe và tính mạng người bệnh, trách nhiệm giám sát việc sử dụng, kiểm soát mức độ phụ thuộc của bác sĩ vào hệ thống và bảo đảm an toàn chuyên môn thuộc về bệnh viện – đơn vị đang vận hành và áp dụng hệ thống trong thực tiễn.</w:t>
      </w:r>
    </w:p>
    <w:p w:rsidR="00C60491" w:rsidRPr="00C60491" w:rsidRDefault="00C60491" w:rsidP="001D0A70">
      <w:pPr>
        <w:spacing w:after="0" w:line="360" w:lineRule="auto"/>
        <w:jc w:val="both"/>
        <w:rPr>
          <w:rFonts w:ascii="Times New Roman" w:eastAsia="Times New Roman" w:hAnsi="Times New Roman" w:cs="Times New Roman"/>
          <w:sz w:val="28"/>
          <w:szCs w:val="28"/>
        </w:rPr>
      </w:pPr>
      <w:r w:rsidRPr="00C60491">
        <w:rPr>
          <w:rFonts w:ascii="Times New Roman" w:eastAsia="Times New Roman" w:hAnsi="Times New Roman" w:cs="Times New Roman"/>
          <w:sz w:val="28"/>
          <w:szCs w:val="28"/>
        </w:rPr>
        <w:t>Khi xảy ra sự cố, bệnh viện có trách nhiệm rà soát quy trình sử dụng, đánh giá việc khai thác kết quả từ hệ thống trí tuệ nhân tạo, kiểm tra cấu hình vận hành và phối hợp với doanh nghiệp cung cấp, viện nghiên cứu để xác định nguyên nhân. Việc chuyển toàn bộ trách nhiệm sang nhà cung cấp hoặc đơn vị phát triển thuật toán là không phù hợp với quy định của pháp luật, bởi bệnh viện là chủ thể triển khai sử dụng hệ thống trí tuệ nhân tạo.</w:t>
      </w:r>
    </w:p>
    <w:p w:rsidR="001D0A70" w:rsidRPr="001D0A70" w:rsidRDefault="00A53FCE" w:rsidP="001D0A70">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20. </w:t>
      </w:r>
      <w:r w:rsidR="001D0A70" w:rsidRPr="001D0A70">
        <w:rPr>
          <w:rFonts w:ascii="Times New Roman" w:eastAsia="Times New Roman" w:hAnsi="Times New Roman" w:cs="Times New Roman"/>
          <w:b/>
          <w:sz w:val="28"/>
          <w:szCs w:val="28"/>
        </w:rPr>
        <w:t>Công ty DigiArt Việt tại tỉnh Khánh Hòa vận hành nền tảng tạo tranh minh họa bằng trí tuệ nhân tạo và bán tranh số dưới dạng file dữ liệu có mã định danh riêng; người mua có thể chuyển nhượng tranh số thông qua nền tảng. Anh Lộc mua một tranh số nhưng phát hiện người khác sử dụng đúng tác phẩm đó để in ấn, quảng cáo thương mại với lập luận rằng file dữ liệu không phải là tài sản.</w:t>
      </w:r>
    </w:p>
    <w:p w:rsidR="001D0A70" w:rsidRPr="001D0A70" w:rsidRDefault="001D0A70"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b/>
          <w:bCs/>
          <w:sz w:val="28"/>
          <w:szCs w:val="28"/>
        </w:rPr>
        <w:t>Xin hỏi theo quy định của pháp luật, tranh số có được coi là tài sản số hay không và quyền sở hữu của người mua có được pháp luật bảo vệ hay không?</w:t>
      </w:r>
    </w:p>
    <w:p w:rsidR="001D0A70" w:rsidRPr="001D0A70" w:rsidRDefault="001D0A70"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sz w:val="28"/>
          <w:szCs w:val="28"/>
        </w:rPr>
        <w:t>Điều 46 Luật Công nghiệp công nghệ số số 71/2025/QH15 quy định tài sản số là tài sản theo quy định của Bộ luật Dân sự nhưng được thể hiện dưới dạng dữ liệu số, được tạo lập, lưu trữ, chuyển giao và xác thực bằng công nghệ số trên môi trường điện tử. Quy định này khẳng định rằng việc tài sản không tồn tại dưới dạng vật chất không làm mất đi giá trị pháp lý của tài sản theo nghĩa pháp luật dân sự.</w:t>
      </w:r>
    </w:p>
    <w:p w:rsidR="001D0A70" w:rsidRPr="001D0A70" w:rsidRDefault="001D0A70"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sz w:val="28"/>
          <w:szCs w:val="28"/>
        </w:rPr>
        <w:t>Tranh số mà anh Lộc mua được tạo lập bằng công nghệ, có mã định danh để xác thực tính duy nhất, được lưu trữ dưới dạng dữ liệu số và có khả năng chuyển nhượng thông qua nền tảng điện tử. Những đặc điểm này phù hợp với khái niệm tài sản số theo Điều 46 Luật Công nghiệp công nghệ số, đồng thời đáp ứng các dấu hiệu của tài sản hoặc quyền tài sản theo Bộ luật Dân sự, bao gồm có giá trị kinh tế, có chủ thể sở hữu xác định và có khả năng chuyển giao theo thỏa thuận.</w:t>
      </w:r>
    </w:p>
    <w:p w:rsidR="001D0A70" w:rsidRPr="001D0A70" w:rsidRDefault="001D0A70"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sz w:val="28"/>
          <w:szCs w:val="28"/>
        </w:rPr>
        <w:t>Khi giao dịch mua tranh số được xác lập, anh Lộc hình thành quyền tài sản đối với tác phẩm kỹ thuật số đó. Quyền này không bị phủ nhận chỉ vì tài sản tồn tại dưới dạng dữ liệu. Việc cá nhân khác sử dụng trái phép tranh số để in ấn và khai thác thương mại đã xâm phạm trực tiếp quyền chiếm hữu, quyền sử dụng và quyền định đoạt của chủ sở hữu theo giao dịch hợp pháp; trường hợp tranh số có tính sáng tạo, hành vi này còn có thể xâm phạm quyền tác giả theo pháp luật về sở hữu trí tuệ.</w:t>
      </w:r>
    </w:p>
    <w:p w:rsidR="001D0A70" w:rsidRPr="001D0A70" w:rsidRDefault="001D0A70" w:rsidP="001D0A70">
      <w:pPr>
        <w:spacing w:after="0" w:line="360" w:lineRule="auto"/>
        <w:jc w:val="both"/>
        <w:rPr>
          <w:rFonts w:ascii="Times New Roman" w:eastAsia="Times New Roman" w:hAnsi="Times New Roman" w:cs="Times New Roman"/>
          <w:sz w:val="28"/>
          <w:szCs w:val="28"/>
        </w:rPr>
      </w:pPr>
      <w:r w:rsidRPr="001D0A70">
        <w:rPr>
          <w:rFonts w:ascii="Times New Roman" w:eastAsia="Times New Roman" w:hAnsi="Times New Roman" w:cs="Times New Roman"/>
          <w:sz w:val="28"/>
          <w:szCs w:val="28"/>
        </w:rPr>
        <w:t>Lập luận cho rằng “file dữ liệu không phải là tài sản” là không phù hợp với quy định của pháp luật. Điều 46 Luật Công nghiệp công nghệ số đã xác định rõ tài sản được thể hiện dưới dạng dữ liệu số vẫn là tài sản và được pháp luật bảo vệ. Công ty DigiArt Việt có trách nhiệm hỗ trợ xác thực quyền sở hữu tranh số của người mua thông qua mã định danh và dữ liệu giao dịch, làm căn cứ bảo vệ quyền và lợi ích hợp pháp của khách hàng.</w:t>
      </w:r>
    </w:p>
    <w:p w:rsidR="00F1497D" w:rsidRPr="001D0A70" w:rsidRDefault="00F1497D" w:rsidP="001D0A70">
      <w:pPr>
        <w:spacing w:after="0" w:line="360" w:lineRule="auto"/>
        <w:jc w:val="both"/>
        <w:rPr>
          <w:rFonts w:ascii="Times New Roman" w:hAnsi="Times New Roman" w:cs="Times New Roman"/>
          <w:sz w:val="28"/>
          <w:szCs w:val="28"/>
        </w:rPr>
      </w:pPr>
    </w:p>
    <w:p w:rsidR="00555580" w:rsidRPr="001D0A70" w:rsidRDefault="00555580">
      <w:pPr>
        <w:spacing w:after="0" w:line="360" w:lineRule="auto"/>
        <w:jc w:val="both"/>
        <w:rPr>
          <w:rFonts w:ascii="Times New Roman" w:hAnsi="Times New Roman" w:cs="Times New Roman"/>
          <w:sz w:val="28"/>
          <w:szCs w:val="28"/>
        </w:rPr>
      </w:pPr>
    </w:p>
    <w:sectPr w:rsidR="00555580" w:rsidRPr="001D0A70" w:rsidSect="00FC12B5">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64A" w:rsidRDefault="00D6764A" w:rsidP="00FC12B5">
      <w:pPr>
        <w:spacing w:after="0" w:line="240" w:lineRule="auto"/>
      </w:pPr>
      <w:r>
        <w:separator/>
      </w:r>
    </w:p>
  </w:endnote>
  <w:endnote w:type="continuationSeparator" w:id="0">
    <w:p w:rsidR="00D6764A" w:rsidRDefault="00D6764A" w:rsidP="00FC1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64A" w:rsidRDefault="00D6764A" w:rsidP="00FC12B5">
      <w:pPr>
        <w:spacing w:after="0" w:line="240" w:lineRule="auto"/>
      </w:pPr>
      <w:r>
        <w:separator/>
      </w:r>
    </w:p>
  </w:footnote>
  <w:footnote w:type="continuationSeparator" w:id="0">
    <w:p w:rsidR="00D6764A" w:rsidRDefault="00D6764A" w:rsidP="00FC1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225404"/>
      <w:docPartObj>
        <w:docPartGallery w:val="Page Numbers (Top of Page)"/>
        <w:docPartUnique/>
      </w:docPartObj>
    </w:sdtPr>
    <w:sdtEndPr>
      <w:rPr>
        <w:rFonts w:ascii="Times New Roman" w:hAnsi="Times New Roman" w:cs="Times New Roman"/>
        <w:noProof/>
        <w:sz w:val="28"/>
      </w:rPr>
    </w:sdtEndPr>
    <w:sdtContent>
      <w:p w:rsidR="00555580" w:rsidRPr="00FC12B5" w:rsidRDefault="00555580">
        <w:pPr>
          <w:pStyle w:val="Header"/>
          <w:jc w:val="center"/>
          <w:rPr>
            <w:rFonts w:ascii="Times New Roman" w:hAnsi="Times New Roman" w:cs="Times New Roman"/>
            <w:sz w:val="28"/>
          </w:rPr>
        </w:pPr>
        <w:r w:rsidRPr="00FC12B5">
          <w:rPr>
            <w:rFonts w:ascii="Times New Roman" w:hAnsi="Times New Roman" w:cs="Times New Roman"/>
            <w:sz w:val="28"/>
          </w:rPr>
          <w:fldChar w:fldCharType="begin"/>
        </w:r>
        <w:r w:rsidRPr="00FC12B5">
          <w:rPr>
            <w:rFonts w:ascii="Times New Roman" w:hAnsi="Times New Roman" w:cs="Times New Roman"/>
            <w:sz w:val="28"/>
          </w:rPr>
          <w:instrText xml:space="preserve"> PAGE   \* MERGEFORMAT </w:instrText>
        </w:r>
        <w:r w:rsidRPr="00FC12B5">
          <w:rPr>
            <w:rFonts w:ascii="Times New Roman" w:hAnsi="Times New Roman" w:cs="Times New Roman"/>
            <w:sz w:val="28"/>
          </w:rPr>
          <w:fldChar w:fldCharType="separate"/>
        </w:r>
        <w:r w:rsidR="00E3745D">
          <w:rPr>
            <w:rFonts w:ascii="Times New Roman" w:hAnsi="Times New Roman" w:cs="Times New Roman"/>
            <w:noProof/>
            <w:sz w:val="28"/>
          </w:rPr>
          <w:t>2</w:t>
        </w:r>
        <w:r w:rsidRPr="00FC12B5">
          <w:rPr>
            <w:rFonts w:ascii="Times New Roman" w:hAnsi="Times New Roman" w:cs="Times New Roman"/>
            <w:noProof/>
            <w:sz w:val="28"/>
          </w:rPr>
          <w:fldChar w:fldCharType="end"/>
        </w:r>
      </w:p>
    </w:sdtContent>
  </w:sdt>
  <w:p w:rsidR="00555580" w:rsidRDefault="005555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379"/>
    <w:rsid w:val="00052243"/>
    <w:rsid w:val="001D0A70"/>
    <w:rsid w:val="0032130A"/>
    <w:rsid w:val="005451DE"/>
    <w:rsid w:val="00555580"/>
    <w:rsid w:val="00636433"/>
    <w:rsid w:val="00670600"/>
    <w:rsid w:val="00684006"/>
    <w:rsid w:val="006874C2"/>
    <w:rsid w:val="006D4379"/>
    <w:rsid w:val="00A53FCE"/>
    <w:rsid w:val="00B52FA6"/>
    <w:rsid w:val="00C60491"/>
    <w:rsid w:val="00CB2890"/>
    <w:rsid w:val="00D6764A"/>
    <w:rsid w:val="00E3745D"/>
    <w:rsid w:val="00E70ACE"/>
    <w:rsid w:val="00F1497D"/>
    <w:rsid w:val="00FC12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D0A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04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04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0491"/>
    <w:rPr>
      <w:b/>
      <w:bCs/>
    </w:rPr>
  </w:style>
  <w:style w:type="character" w:customStyle="1" w:styleId="Heading3Char">
    <w:name w:val="Heading 3 Char"/>
    <w:basedOn w:val="DefaultParagraphFont"/>
    <w:link w:val="Heading3"/>
    <w:uiPriority w:val="9"/>
    <w:rsid w:val="00C60491"/>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1D0A7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C1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2B5"/>
  </w:style>
  <w:style w:type="paragraph" w:styleId="Footer">
    <w:name w:val="footer"/>
    <w:basedOn w:val="Normal"/>
    <w:link w:val="FooterChar"/>
    <w:uiPriority w:val="99"/>
    <w:unhideWhenUsed/>
    <w:rsid w:val="00FC1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2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D0A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04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04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0491"/>
    <w:rPr>
      <w:b/>
      <w:bCs/>
    </w:rPr>
  </w:style>
  <w:style w:type="character" w:customStyle="1" w:styleId="Heading3Char">
    <w:name w:val="Heading 3 Char"/>
    <w:basedOn w:val="DefaultParagraphFont"/>
    <w:link w:val="Heading3"/>
    <w:uiPriority w:val="9"/>
    <w:rsid w:val="00C60491"/>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1D0A7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C1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2B5"/>
  </w:style>
  <w:style w:type="paragraph" w:styleId="Footer">
    <w:name w:val="footer"/>
    <w:basedOn w:val="Normal"/>
    <w:link w:val="FooterChar"/>
    <w:uiPriority w:val="99"/>
    <w:unhideWhenUsed/>
    <w:rsid w:val="00FC1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00">
      <w:bodyDiv w:val="1"/>
      <w:marLeft w:val="0"/>
      <w:marRight w:val="0"/>
      <w:marTop w:val="0"/>
      <w:marBottom w:val="0"/>
      <w:divBdr>
        <w:top w:val="none" w:sz="0" w:space="0" w:color="auto"/>
        <w:left w:val="none" w:sz="0" w:space="0" w:color="auto"/>
        <w:bottom w:val="none" w:sz="0" w:space="0" w:color="auto"/>
        <w:right w:val="none" w:sz="0" w:space="0" w:color="auto"/>
      </w:divBdr>
    </w:div>
    <w:div w:id="29838891">
      <w:bodyDiv w:val="1"/>
      <w:marLeft w:val="0"/>
      <w:marRight w:val="0"/>
      <w:marTop w:val="0"/>
      <w:marBottom w:val="0"/>
      <w:divBdr>
        <w:top w:val="none" w:sz="0" w:space="0" w:color="auto"/>
        <w:left w:val="none" w:sz="0" w:space="0" w:color="auto"/>
        <w:bottom w:val="none" w:sz="0" w:space="0" w:color="auto"/>
        <w:right w:val="none" w:sz="0" w:space="0" w:color="auto"/>
      </w:divBdr>
    </w:div>
    <w:div w:id="31736769">
      <w:bodyDiv w:val="1"/>
      <w:marLeft w:val="0"/>
      <w:marRight w:val="0"/>
      <w:marTop w:val="0"/>
      <w:marBottom w:val="0"/>
      <w:divBdr>
        <w:top w:val="none" w:sz="0" w:space="0" w:color="auto"/>
        <w:left w:val="none" w:sz="0" w:space="0" w:color="auto"/>
        <w:bottom w:val="none" w:sz="0" w:space="0" w:color="auto"/>
        <w:right w:val="none" w:sz="0" w:space="0" w:color="auto"/>
      </w:divBdr>
    </w:div>
    <w:div w:id="115174114">
      <w:bodyDiv w:val="1"/>
      <w:marLeft w:val="0"/>
      <w:marRight w:val="0"/>
      <w:marTop w:val="0"/>
      <w:marBottom w:val="0"/>
      <w:divBdr>
        <w:top w:val="none" w:sz="0" w:space="0" w:color="auto"/>
        <w:left w:val="none" w:sz="0" w:space="0" w:color="auto"/>
        <w:bottom w:val="none" w:sz="0" w:space="0" w:color="auto"/>
        <w:right w:val="none" w:sz="0" w:space="0" w:color="auto"/>
      </w:divBdr>
    </w:div>
    <w:div w:id="143132398">
      <w:bodyDiv w:val="1"/>
      <w:marLeft w:val="0"/>
      <w:marRight w:val="0"/>
      <w:marTop w:val="0"/>
      <w:marBottom w:val="0"/>
      <w:divBdr>
        <w:top w:val="none" w:sz="0" w:space="0" w:color="auto"/>
        <w:left w:val="none" w:sz="0" w:space="0" w:color="auto"/>
        <w:bottom w:val="none" w:sz="0" w:space="0" w:color="auto"/>
        <w:right w:val="none" w:sz="0" w:space="0" w:color="auto"/>
      </w:divBdr>
    </w:div>
    <w:div w:id="152255630">
      <w:bodyDiv w:val="1"/>
      <w:marLeft w:val="0"/>
      <w:marRight w:val="0"/>
      <w:marTop w:val="0"/>
      <w:marBottom w:val="0"/>
      <w:divBdr>
        <w:top w:val="none" w:sz="0" w:space="0" w:color="auto"/>
        <w:left w:val="none" w:sz="0" w:space="0" w:color="auto"/>
        <w:bottom w:val="none" w:sz="0" w:space="0" w:color="auto"/>
        <w:right w:val="none" w:sz="0" w:space="0" w:color="auto"/>
      </w:divBdr>
    </w:div>
    <w:div w:id="157621796">
      <w:bodyDiv w:val="1"/>
      <w:marLeft w:val="0"/>
      <w:marRight w:val="0"/>
      <w:marTop w:val="0"/>
      <w:marBottom w:val="0"/>
      <w:divBdr>
        <w:top w:val="none" w:sz="0" w:space="0" w:color="auto"/>
        <w:left w:val="none" w:sz="0" w:space="0" w:color="auto"/>
        <w:bottom w:val="none" w:sz="0" w:space="0" w:color="auto"/>
        <w:right w:val="none" w:sz="0" w:space="0" w:color="auto"/>
      </w:divBdr>
    </w:div>
    <w:div w:id="178934777">
      <w:bodyDiv w:val="1"/>
      <w:marLeft w:val="0"/>
      <w:marRight w:val="0"/>
      <w:marTop w:val="0"/>
      <w:marBottom w:val="0"/>
      <w:divBdr>
        <w:top w:val="none" w:sz="0" w:space="0" w:color="auto"/>
        <w:left w:val="none" w:sz="0" w:space="0" w:color="auto"/>
        <w:bottom w:val="none" w:sz="0" w:space="0" w:color="auto"/>
        <w:right w:val="none" w:sz="0" w:space="0" w:color="auto"/>
      </w:divBdr>
    </w:div>
    <w:div w:id="214512705">
      <w:bodyDiv w:val="1"/>
      <w:marLeft w:val="0"/>
      <w:marRight w:val="0"/>
      <w:marTop w:val="0"/>
      <w:marBottom w:val="0"/>
      <w:divBdr>
        <w:top w:val="none" w:sz="0" w:space="0" w:color="auto"/>
        <w:left w:val="none" w:sz="0" w:space="0" w:color="auto"/>
        <w:bottom w:val="none" w:sz="0" w:space="0" w:color="auto"/>
        <w:right w:val="none" w:sz="0" w:space="0" w:color="auto"/>
      </w:divBdr>
    </w:div>
    <w:div w:id="343438905">
      <w:bodyDiv w:val="1"/>
      <w:marLeft w:val="0"/>
      <w:marRight w:val="0"/>
      <w:marTop w:val="0"/>
      <w:marBottom w:val="0"/>
      <w:divBdr>
        <w:top w:val="none" w:sz="0" w:space="0" w:color="auto"/>
        <w:left w:val="none" w:sz="0" w:space="0" w:color="auto"/>
        <w:bottom w:val="none" w:sz="0" w:space="0" w:color="auto"/>
        <w:right w:val="none" w:sz="0" w:space="0" w:color="auto"/>
      </w:divBdr>
    </w:div>
    <w:div w:id="420026416">
      <w:bodyDiv w:val="1"/>
      <w:marLeft w:val="0"/>
      <w:marRight w:val="0"/>
      <w:marTop w:val="0"/>
      <w:marBottom w:val="0"/>
      <w:divBdr>
        <w:top w:val="none" w:sz="0" w:space="0" w:color="auto"/>
        <w:left w:val="none" w:sz="0" w:space="0" w:color="auto"/>
        <w:bottom w:val="none" w:sz="0" w:space="0" w:color="auto"/>
        <w:right w:val="none" w:sz="0" w:space="0" w:color="auto"/>
      </w:divBdr>
    </w:div>
    <w:div w:id="567149976">
      <w:bodyDiv w:val="1"/>
      <w:marLeft w:val="0"/>
      <w:marRight w:val="0"/>
      <w:marTop w:val="0"/>
      <w:marBottom w:val="0"/>
      <w:divBdr>
        <w:top w:val="none" w:sz="0" w:space="0" w:color="auto"/>
        <w:left w:val="none" w:sz="0" w:space="0" w:color="auto"/>
        <w:bottom w:val="none" w:sz="0" w:space="0" w:color="auto"/>
        <w:right w:val="none" w:sz="0" w:space="0" w:color="auto"/>
      </w:divBdr>
    </w:div>
    <w:div w:id="578171917">
      <w:bodyDiv w:val="1"/>
      <w:marLeft w:val="0"/>
      <w:marRight w:val="0"/>
      <w:marTop w:val="0"/>
      <w:marBottom w:val="0"/>
      <w:divBdr>
        <w:top w:val="none" w:sz="0" w:space="0" w:color="auto"/>
        <w:left w:val="none" w:sz="0" w:space="0" w:color="auto"/>
        <w:bottom w:val="none" w:sz="0" w:space="0" w:color="auto"/>
        <w:right w:val="none" w:sz="0" w:space="0" w:color="auto"/>
      </w:divBdr>
    </w:div>
    <w:div w:id="613561203">
      <w:bodyDiv w:val="1"/>
      <w:marLeft w:val="0"/>
      <w:marRight w:val="0"/>
      <w:marTop w:val="0"/>
      <w:marBottom w:val="0"/>
      <w:divBdr>
        <w:top w:val="none" w:sz="0" w:space="0" w:color="auto"/>
        <w:left w:val="none" w:sz="0" w:space="0" w:color="auto"/>
        <w:bottom w:val="none" w:sz="0" w:space="0" w:color="auto"/>
        <w:right w:val="none" w:sz="0" w:space="0" w:color="auto"/>
      </w:divBdr>
    </w:div>
    <w:div w:id="849104614">
      <w:bodyDiv w:val="1"/>
      <w:marLeft w:val="0"/>
      <w:marRight w:val="0"/>
      <w:marTop w:val="0"/>
      <w:marBottom w:val="0"/>
      <w:divBdr>
        <w:top w:val="none" w:sz="0" w:space="0" w:color="auto"/>
        <w:left w:val="none" w:sz="0" w:space="0" w:color="auto"/>
        <w:bottom w:val="none" w:sz="0" w:space="0" w:color="auto"/>
        <w:right w:val="none" w:sz="0" w:space="0" w:color="auto"/>
      </w:divBdr>
    </w:div>
    <w:div w:id="981422189">
      <w:bodyDiv w:val="1"/>
      <w:marLeft w:val="0"/>
      <w:marRight w:val="0"/>
      <w:marTop w:val="0"/>
      <w:marBottom w:val="0"/>
      <w:divBdr>
        <w:top w:val="none" w:sz="0" w:space="0" w:color="auto"/>
        <w:left w:val="none" w:sz="0" w:space="0" w:color="auto"/>
        <w:bottom w:val="none" w:sz="0" w:space="0" w:color="auto"/>
        <w:right w:val="none" w:sz="0" w:space="0" w:color="auto"/>
      </w:divBdr>
    </w:div>
    <w:div w:id="1088389058">
      <w:bodyDiv w:val="1"/>
      <w:marLeft w:val="0"/>
      <w:marRight w:val="0"/>
      <w:marTop w:val="0"/>
      <w:marBottom w:val="0"/>
      <w:divBdr>
        <w:top w:val="none" w:sz="0" w:space="0" w:color="auto"/>
        <w:left w:val="none" w:sz="0" w:space="0" w:color="auto"/>
        <w:bottom w:val="none" w:sz="0" w:space="0" w:color="auto"/>
        <w:right w:val="none" w:sz="0" w:space="0" w:color="auto"/>
      </w:divBdr>
    </w:div>
    <w:div w:id="1109741241">
      <w:bodyDiv w:val="1"/>
      <w:marLeft w:val="0"/>
      <w:marRight w:val="0"/>
      <w:marTop w:val="0"/>
      <w:marBottom w:val="0"/>
      <w:divBdr>
        <w:top w:val="none" w:sz="0" w:space="0" w:color="auto"/>
        <w:left w:val="none" w:sz="0" w:space="0" w:color="auto"/>
        <w:bottom w:val="none" w:sz="0" w:space="0" w:color="auto"/>
        <w:right w:val="none" w:sz="0" w:space="0" w:color="auto"/>
      </w:divBdr>
    </w:div>
    <w:div w:id="1120143905">
      <w:bodyDiv w:val="1"/>
      <w:marLeft w:val="0"/>
      <w:marRight w:val="0"/>
      <w:marTop w:val="0"/>
      <w:marBottom w:val="0"/>
      <w:divBdr>
        <w:top w:val="none" w:sz="0" w:space="0" w:color="auto"/>
        <w:left w:val="none" w:sz="0" w:space="0" w:color="auto"/>
        <w:bottom w:val="none" w:sz="0" w:space="0" w:color="auto"/>
        <w:right w:val="none" w:sz="0" w:space="0" w:color="auto"/>
      </w:divBdr>
    </w:div>
    <w:div w:id="1404140384">
      <w:bodyDiv w:val="1"/>
      <w:marLeft w:val="0"/>
      <w:marRight w:val="0"/>
      <w:marTop w:val="0"/>
      <w:marBottom w:val="0"/>
      <w:divBdr>
        <w:top w:val="none" w:sz="0" w:space="0" w:color="auto"/>
        <w:left w:val="none" w:sz="0" w:space="0" w:color="auto"/>
        <w:bottom w:val="none" w:sz="0" w:space="0" w:color="auto"/>
        <w:right w:val="none" w:sz="0" w:space="0" w:color="auto"/>
      </w:divBdr>
    </w:div>
    <w:div w:id="1806661756">
      <w:bodyDiv w:val="1"/>
      <w:marLeft w:val="0"/>
      <w:marRight w:val="0"/>
      <w:marTop w:val="0"/>
      <w:marBottom w:val="0"/>
      <w:divBdr>
        <w:top w:val="none" w:sz="0" w:space="0" w:color="auto"/>
        <w:left w:val="none" w:sz="0" w:space="0" w:color="auto"/>
        <w:bottom w:val="none" w:sz="0" w:space="0" w:color="auto"/>
        <w:right w:val="none" w:sz="0" w:space="0" w:color="auto"/>
      </w:divBdr>
    </w:div>
    <w:div w:id="1871843764">
      <w:bodyDiv w:val="1"/>
      <w:marLeft w:val="0"/>
      <w:marRight w:val="0"/>
      <w:marTop w:val="0"/>
      <w:marBottom w:val="0"/>
      <w:divBdr>
        <w:top w:val="none" w:sz="0" w:space="0" w:color="auto"/>
        <w:left w:val="none" w:sz="0" w:space="0" w:color="auto"/>
        <w:bottom w:val="none" w:sz="0" w:space="0" w:color="auto"/>
        <w:right w:val="none" w:sz="0" w:space="0" w:color="auto"/>
      </w:divBdr>
    </w:div>
    <w:div w:id="1955594911">
      <w:bodyDiv w:val="1"/>
      <w:marLeft w:val="0"/>
      <w:marRight w:val="0"/>
      <w:marTop w:val="0"/>
      <w:marBottom w:val="0"/>
      <w:divBdr>
        <w:top w:val="none" w:sz="0" w:space="0" w:color="auto"/>
        <w:left w:val="none" w:sz="0" w:space="0" w:color="auto"/>
        <w:bottom w:val="none" w:sz="0" w:space="0" w:color="auto"/>
        <w:right w:val="none" w:sz="0" w:space="0" w:color="auto"/>
      </w:divBdr>
    </w:div>
    <w:div w:id="208865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112CE-A8D7-4E51-87FF-3771A796C517}"/>
</file>

<file path=customXml/itemProps2.xml><?xml version="1.0" encoding="utf-8"?>
<ds:datastoreItem xmlns:ds="http://schemas.openxmlformats.org/officeDocument/2006/customXml" ds:itemID="{C5715F85-533E-4F4C-9BD1-345689D6EE82}"/>
</file>

<file path=customXml/itemProps3.xml><?xml version="1.0" encoding="utf-8"?>
<ds:datastoreItem xmlns:ds="http://schemas.openxmlformats.org/officeDocument/2006/customXml" ds:itemID="{EE840019-B7D1-4F65-BB84-FA8545771F6E}"/>
</file>

<file path=docProps/app.xml><?xml version="1.0" encoding="utf-8"?>
<Properties xmlns="http://schemas.openxmlformats.org/officeDocument/2006/extended-properties" xmlns:vt="http://schemas.openxmlformats.org/officeDocument/2006/docPropsVTypes">
  <Template>Normal</Template>
  <TotalTime>1</TotalTime>
  <Pages>3</Pages>
  <Words>9665</Words>
  <Characters>33928</Characters>
  <Application>Microsoft Office Word</Application>
  <DocSecurity>0</DocSecurity>
  <Lines>665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Dương Anh Tú</dc:creator>
  <cp:lastModifiedBy>hp</cp:lastModifiedBy>
  <cp:revision>2</cp:revision>
  <dcterms:created xsi:type="dcterms:W3CDTF">2026-05-04T10:11:00Z</dcterms:created>
  <dcterms:modified xsi:type="dcterms:W3CDTF">2026-05-04T10:11:00Z</dcterms:modified>
</cp:coreProperties>
</file>